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C80" w:rsidRPr="007A16D0" w:rsidRDefault="007A16D0" w:rsidP="00A23A72">
      <w:pPr>
        <w:spacing w:line="360" w:lineRule="auto"/>
        <w:jc w:val="both"/>
      </w:pPr>
      <w:r>
        <w:rPr>
          <w:rtl/>
        </w:rPr>
        <w:t xml:space="preserve"> </w:t>
      </w: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F17C80">
        <w:trPr>
          <w:gridBefore w:val="1"/>
          <w:gridAfter w:val="1"/>
          <w:wBefore w:w="28" w:type="dxa"/>
          <w:wAfter w:w="56" w:type="dxa"/>
        </w:trPr>
        <w:tc>
          <w:tcPr>
            <w:tcW w:w="8718" w:type="dxa"/>
            <w:gridSpan w:val="2"/>
          </w:tcPr>
          <w:p w:rsidR="00163279" w:rsidRPr="00163279" w:rsidRDefault="00F941D7" w:rsidP="00F17C80">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יפעת שטרית</w:t>
                </w:r>
                <w:r w:rsidR="00F17C80">
                  <w:rPr>
                    <w:rFonts w:cs="David"/>
                    <w:b/>
                    <w:bCs/>
                    <w:sz w:val="26"/>
                    <w:szCs w:val="26"/>
                    <w:rtl/>
                  </w:rPr>
                  <w:t xml:space="preserve"> – אב"</w:t>
                </w:r>
                <w:r w:rsidR="00F17C80">
                  <w:rPr>
                    <w:rFonts w:cs="David" w:hint="cs"/>
                    <w:b/>
                    <w:bCs/>
                    <w:sz w:val="26"/>
                    <w:szCs w:val="26"/>
                    <w:rtl/>
                  </w:rPr>
                  <w:t xml:space="preserve">ד </w:t>
                </w:r>
                <w:r w:rsidR="00F17C80">
                  <w:rPr>
                    <w:rFonts w:cs="David"/>
                    <w:b/>
                    <w:bCs/>
                    <w:sz w:val="26"/>
                    <w:szCs w:val="26"/>
                    <w:rtl/>
                  </w:rPr>
                  <w:br/>
                </w:r>
                <w:r w:rsidR="00F17C80">
                  <w:rPr>
                    <w:rFonts w:cs="David" w:hint="cs"/>
                    <w:b/>
                    <w:bCs/>
                    <w:sz w:val="26"/>
                    <w:szCs w:val="26"/>
                    <w:rtl/>
                  </w:rPr>
                  <w:t xml:space="preserve">        כבוד ה</w:t>
                </w:r>
                <w:r>
                  <w:rPr>
                    <w:rFonts w:cs="David"/>
                    <w:b/>
                    <w:bCs/>
                    <w:sz w:val="26"/>
                    <w:szCs w:val="26"/>
                    <w:rtl/>
                  </w:rPr>
                  <w:t>שופטת תמר נסים שי</w:t>
                </w:r>
                <w:r w:rsidR="00F17C80">
                  <w:rPr>
                    <w:rFonts w:cs="David"/>
                    <w:b/>
                    <w:bCs/>
                    <w:sz w:val="26"/>
                    <w:szCs w:val="26"/>
                    <w:rtl/>
                  </w:rPr>
                  <w:br/>
                </w:r>
                <w:r w:rsidR="00F17C80">
                  <w:rPr>
                    <w:rFonts w:cs="David" w:hint="cs"/>
                    <w:b/>
                    <w:bCs/>
                    <w:sz w:val="26"/>
                    <w:szCs w:val="26"/>
                    <w:rtl/>
                  </w:rPr>
                  <w:t xml:space="preserve">        כבוד ה</w:t>
                </w:r>
                <w:r>
                  <w:rPr>
                    <w:rFonts w:cs="David"/>
                    <w:b/>
                    <w:bCs/>
                    <w:sz w:val="26"/>
                    <w:szCs w:val="26"/>
                    <w:rtl/>
                  </w:rPr>
                  <w:t xml:space="preserve">שופטת </w:t>
                </w:r>
                <w:proofErr w:type="spellStart"/>
                <w:r>
                  <w:rPr>
                    <w:rFonts w:cs="David"/>
                    <w:b/>
                    <w:bCs/>
                    <w:sz w:val="26"/>
                    <w:szCs w:val="26"/>
                    <w:rtl/>
                  </w:rPr>
                  <w:t>אוסילה</w:t>
                </w:r>
                <w:proofErr w:type="spellEnd"/>
                <w:r>
                  <w:rPr>
                    <w:rFonts w:cs="David"/>
                    <w:b/>
                    <w:bCs/>
                    <w:sz w:val="26"/>
                    <w:szCs w:val="26"/>
                    <w:rtl/>
                  </w:rPr>
                  <w:t xml:space="preserve"> אבו-אסעד</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Pr="00F17C80" w:rsidRDefault="005832BA" w:rsidP="007F46CA">
            <w:pPr>
              <w:ind w:left="26"/>
              <w:jc w:val="left"/>
              <w:rPr>
                <w:rFonts w:cs="David"/>
                <w:b/>
                <w:bCs/>
                <w:sz w:val="26"/>
                <w:szCs w:val="26"/>
                <w:rtl/>
              </w:rPr>
            </w:pPr>
          </w:p>
          <w:p w:rsidR="00EB1D9D" w:rsidRDefault="00E679BB" w:rsidP="00F17C80">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מערער</w:t>
                </w:r>
                <w:r w:rsidR="00F17C80">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918E8" w:rsidP="00F17C80">
            <w:pPr>
              <w:jc w:val="left"/>
              <w:rPr>
                <w:rFonts w:cs="David"/>
                <w:b/>
                <w:bCs/>
                <w:sz w:val="26"/>
                <w:szCs w:val="26"/>
                <w:rtl/>
              </w:rPr>
            </w:pPr>
            <w:sdt>
              <w:sdtPr>
                <w:rPr>
                  <w:rFonts w:hint="cs"/>
                  <w:b/>
                  <w:bCs/>
                  <w:sz w:val="26"/>
                  <w:szCs w:val="26"/>
                  <w:rtl/>
                </w:rPr>
                <w:alias w:val="2686"/>
                <w:tag w:val="2686"/>
                <w:id w:val="-788891271"/>
                <w:placeholder>
                  <w:docPart w:val="87BC7852BBA04B8384D8B6D69A938C31"/>
                </w:placeholder>
                <w:text w:multiLine="1"/>
              </w:sdtPr>
              <w:sdtEndPr/>
              <w:sdtContent>
                <w:r w:rsidR="009D5250">
                  <w:rPr>
                    <w:rFonts w:cs="David" w:hint="eastAsia"/>
                    <w:b/>
                    <w:bCs/>
                    <w:sz w:val="26"/>
                    <w:szCs w:val="26"/>
                    <w:rtl/>
                  </w:rPr>
                  <w:t>מדינת ישראל</w:t>
                </w:r>
              </w:sdtContent>
            </w:sdt>
            <w:r w:rsidR="00DA32F1">
              <w:rPr>
                <w:rFonts w:cs="David"/>
                <w:b/>
                <w:bCs/>
                <w:sz w:val="26"/>
                <w:szCs w:val="26"/>
                <w:rtl/>
              </w:rPr>
              <w:t xml:space="preserve"> </w:t>
            </w:r>
            <w:r w:rsidR="00DA32F1">
              <w:rPr>
                <w:rFonts w:cs="David" w:hint="cs"/>
                <w:b/>
                <w:bCs/>
                <w:sz w:val="26"/>
                <w:szCs w:val="26"/>
                <w:rtl/>
              </w:rPr>
              <w:t xml:space="preserve"> </w:t>
            </w:r>
            <w:sdt>
              <w:sdtPr>
                <w:rPr>
                  <w:b/>
                  <w:bCs/>
                  <w:sz w:val="26"/>
                  <w:szCs w:val="26"/>
                  <w:rtl/>
                </w:rPr>
                <w:alias w:val="2688"/>
                <w:tag w:val="2688"/>
                <w:id w:val="1802504892"/>
                <w:placeholder>
                  <w:docPart w:val="3DBEBEE758D944F793720D2E022001D2"/>
                </w:placeholder>
                <w:text w:multiLine="1"/>
              </w:sdtPr>
              <w:sdtEndPr/>
              <w:sdtContent>
                <w:r w:rsidR="000C0BAD" w:rsidRPr="000C0BAD">
                  <w:rPr>
                    <w:rFonts w:ascii="David" w:hAnsi="David" w:cs="David"/>
                    <w:b/>
                    <w:bCs/>
                    <w:sz w:val="26"/>
                    <w:szCs w:val="26"/>
                    <w:rtl/>
                  </w:rPr>
                  <w:br/>
                </w:r>
                <w:r w:rsidR="000C0BAD">
                  <w:rPr>
                    <w:rFonts w:ascii="David" w:hAnsi="David" w:cs="David" w:hint="cs"/>
                    <w:b/>
                    <w:bCs/>
                    <w:sz w:val="26"/>
                    <w:szCs w:val="26"/>
                    <w:rtl/>
                  </w:rPr>
                  <w:t>ע"י פרקליטות מחוז צפון</w:t>
                </w:r>
                <w:r w:rsidR="000C0BAD" w:rsidRPr="000C0BAD">
                  <w:rPr>
                    <w:rFonts w:ascii="David" w:hAnsi="David" w:cs="David"/>
                    <w:b/>
                    <w:bCs/>
                    <w:sz w:val="26"/>
                    <w:szCs w:val="26"/>
                    <w:rtl/>
                  </w:rPr>
                  <w:br/>
                </w: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F17C80" w:rsidP="007F46CA">
            <w:pPr>
              <w:ind w:left="26"/>
              <w:jc w:val="left"/>
              <w:rPr>
                <w:rFonts w:cs="David"/>
                <w:b/>
                <w:bCs/>
                <w:sz w:val="26"/>
                <w:szCs w:val="26"/>
                <w:rtl/>
              </w:rPr>
            </w:pPr>
            <w:r>
              <w:rPr>
                <w:rFonts w:cs="David" w:hint="cs"/>
                <w:b/>
                <w:bCs/>
                <w:sz w:val="26"/>
                <w:szCs w:val="26"/>
                <w:rtl/>
              </w:rPr>
              <w:t xml:space="preserve">המשיב </w:t>
            </w:r>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9D5250">
                  <w:rPr>
                    <w:rFonts w:cs="David"/>
                    <w:b/>
                    <w:bCs/>
                    <w:sz w:val="26"/>
                    <w:szCs w:val="26"/>
                    <w:rtl/>
                  </w:rPr>
                  <w:t xml:space="preserve">אחמד </w:t>
                </w:r>
                <w:proofErr w:type="spellStart"/>
                <w:r w:rsidR="009D5250">
                  <w:rPr>
                    <w:rFonts w:cs="David"/>
                    <w:b/>
                    <w:bCs/>
                    <w:sz w:val="26"/>
                    <w:szCs w:val="26"/>
                    <w:rtl/>
                  </w:rPr>
                  <w:t>אלחרוב</w:t>
                </w:r>
                <w:proofErr w:type="spellEnd"/>
                <w:r w:rsidR="009D5250">
                  <w:rPr>
                    <w:rFonts w:cs="David"/>
                    <w:b/>
                    <w:bCs/>
                    <w:sz w:val="26"/>
                    <w:szCs w:val="26"/>
                    <w:rtl/>
                  </w:rPr>
                  <w:t xml:space="preserve"> (עציר)</w:t>
                </w:r>
              </w:sdtContent>
            </w:sdt>
          </w:p>
          <w:p w:rsidR="00EB1D9D" w:rsidRDefault="000C0BAD" w:rsidP="007F46CA">
            <w:pPr>
              <w:jc w:val="left"/>
              <w:rPr>
                <w:rFonts w:cs="David"/>
                <w:b/>
                <w:bCs/>
                <w:sz w:val="26"/>
                <w:szCs w:val="26"/>
                <w:rtl/>
              </w:rPr>
            </w:pPr>
            <w:r>
              <w:rPr>
                <w:rFonts w:cs="David" w:hint="cs"/>
                <w:b/>
                <w:bCs/>
                <w:sz w:val="26"/>
                <w:szCs w:val="26"/>
                <w:rtl/>
              </w:rPr>
              <w:t xml:space="preserve">ע"י עוה"ד ואסים </w:t>
            </w:r>
            <w:proofErr w:type="spellStart"/>
            <w:r>
              <w:rPr>
                <w:rFonts w:cs="David" w:hint="cs"/>
                <w:b/>
                <w:bCs/>
                <w:sz w:val="26"/>
                <w:szCs w:val="26"/>
                <w:rtl/>
              </w:rPr>
              <w:t>שחאדה</w:t>
            </w:r>
            <w:proofErr w:type="spellEnd"/>
            <w:r>
              <w:rPr>
                <w:rFonts w:cs="David" w:hint="cs"/>
                <w:b/>
                <w:bCs/>
                <w:sz w:val="26"/>
                <w:szCs w:val="26"/>
                <w:rtl/>
              </w:rPr>
              <w:t xml:space="preserve"> </w:t>
            </w:r>
            <w:proofErr w:type="spellStart"/>
            <w:r>
              <w:rPr>
                <w:rFonts w:cs="David" w:hint="cs"/>
                <w:b/>
                <w:bCs/>
                <w:sz w:val="26"/>
                <w:szCs w:val="26"/>
                <w:rtl/>
              </w:rPr>
              <w:t>וזאהר</w:t>
            </w:r>
            <w:proofErr w:type="spellEnd"/>
            <w:r>
              <w:rPr>
                <w:rFonts w:cs="David" w:hint="cs"/>
                <w:b/>
                <w:bCs/>
                <w:sz w:val="26"/>
                <w:szCs w:val="26"/>
                <w:rtl/>
              </w:rPr>
              <w:t xml:space="preserve"> עבאס </w:t>
            </w:r>
            <w:r>
              <w:rPr>
                <w:rFonts w:cs="David"/>
                <w:b/>
                <w:bCs/>
                <w:sz w:val="26"/>
                <w:szCs w:val="26"/>
                <w:rtl/>
              </w:rPr>
              <w:t>–</w:t>
            </w:r>
            <w:r>
              <w:rPr>
                <w:rFonts w:cs="David" w:hint="cs"/>
                <w:b/>
                <w:bCs/>
                <w:sz w:val="26"/>
                <w:szCs w:val="26"/>
                <w:rtl/>
              </w:rPr>
              <w:t xml:space="preserve"> סנגוריה ציבורית</w:t>
            </w:r>
          </w:p>
        </w:tc>
      </w:tr>
    </w:tbl>
    <w:p w:rsidR="00EB1D9D" w:rsidRDefault="00EB1D9D">
      <w:pPr>
        <w:spacing w:line="360" w:lineRule="auto"/>
        <w:jc w:val="both"/>
        <w:rPr>
          <w:rFonts w:ascii="Arial" w:hAnsi="Arial"/>
          <w:b/>
          <w:bCs/>
          <w:sz w:val="26"/>
          <w:szCs w:val="26"/>
          <w:rtl/>
        </w:rPr>
      </w:pPr>
    </w:p>
    <w:p w:rsidR="00F17C80" w:rsidRDefault="00F17C80" w:rsidP="00F17C80">
      <w:pPr>
        <w:spacing w:line="360" w:lineRule="auto"/>
        <w:jc w:val="center"/>
        <w:rPr>
          <w:rFonts w:ascii="Arial" w:hAnsi="Arial"/>
          <w:b/>
          <w:bCs/>
          <w:sz w:val="22"/>
          <w:szCs w:val="22"/>
          <w:rtl/>
        </w:rPr>
      </w:pPr>
      <w:r w:rsidRPr="00F17C80">
        <w:rPr>
          <w:rFonts w:ascii="Arial" w:hAnsi="Arial" w:hint="cs"/>
          <w:b/>
          <w:bCs/>
          <w:sz w:val="22"/>
          <w:szCs w:val="22"/>
          <w:rtl/>
        </w:rPr>
        <w:t xml:space="preserve">ערעור על גזר דינו של בית משפט השלום בטבריה (כב' השופטת נ. </w:t>
      </w:r>
      <w:proofErr w:type="spellStart"/>
      <w:r w:rsidRPr="00F17C80">
        <w:rPr>
          <w:rFonts w:ascii="Arial" w:hAnsi="Arial" w:hint="cs"/>
          <w:b/>
          <w:bCs/>
          <w:sz w:val="22"/>
          <w:szCs w:val="22"/>
          <w:rtl/>
        </w:rPr>
        <w:t>אסכנדר</w:t>
      </w:r>
      <w:proofErr w:type="spellEnd"/>
      <w:r w:rsidRPr="00F17C80">
        <w:rPr>
          <w:rFonts w:ascii="Arial" w:hAnsi="Arial" w:hint="cs"/>
          <w:b/>
          <w:bCs/>
          <w:sz w:val="22"/>
          <w:szCs w:val="22"/>
          <w:rtl/>
        </w:rPr>
        <w:t xml:space="preserve"> </w:t>
      </w:r>
      <w:r w:rsidRPr="00F17C80">
        <w:rPr>
          <w:rFonts w:ascii="Arial" w:hAnsi="Arial"/>
          <w:b/>
          <w:bCs/>
          <w:sz w:val="22"/>
          <w:szCs w:val="22"/>
          <w:rtl/>
        </w:rPr>
        <w:t>–</w:t>
      </w:r>
      <w:r w:rsidRPr="00F17C80">
        <w:rPr>
          <w:rFonts w:ascii="Arial" w:hAnsi="Arial" w:hint="cs"/>
          <w:b/>
          <w:bCs/>
          <w:sz w:val="22"/>
          <w:szCs w:val="22"/>
          <w:rtl/>
        </w:rPr>
        <w:t xml:space="preserve">מוסא) מיום 22/10/23 </w:t>
      </w:r>
    </w:p>
    <w:p w:rsidR="00F17C80" w:rsidRPr="00F17C80" w:rsidRDefault="00F17C80" w:rsidP="00F17C80">
      <w:pPr>
        <w:spacing w:line="360" w:lineRule="auto"/>
        <w:jc w:val="center"/>
        <w:rPr>
          <w:rFonts w:ascii="Arial" w:hAnsi="Arial"/>
          <w:b/>
          <w:bCs/>
          <w:sz w:val="22"/>
          <w:szCs w:val="22"/>
          <w:rtl/>
        </w:rPr>
      </w:pPr>
      <w:proofErr w:type="spellStart"/>
      <w:r w:rsidRPr="00F17C80">
        <w:rPr>
          <w:rFonts w:ascii="Arial" w:hAnsi="Arial" w:hint="cs"/>
          <w:b/>
          <w:bCs/>
          <w:sz w:val="22"/>
          <w:szCs w:val="22"/>
          <w:rtl/>
        </w:rPr>
        <w:t>בת"פ</w:t>
      </w:r>
      <w:proofErr w:type="spellEnd"/>
      <w:r w:rsidRPr="00F17C80">
        <w:rPr>
          <w:rFonts w:ascii="Arial" w:hAnsi="Arial" w:hint="cs"/>
          <w:b/>
          <w:bCs/>
          <w:sz w:val="22"/>
          <w:szCs w:val="22"/>
          <w:rtl/>
        </w:rPr>
        <w:t xml:space="preserve"> 33223-10-23</w:t>
      </w:r>
    </w:p>
    <w:p w:rsidR="00F17C80" w:rsidRDefault="00F17C80" w:rsidP="00F17C80">
      <w:pPr>
        <w:spacing w:line="360" w:lineRule="auto"/>
        <w:jc w:val="both"/>
        <w:rPr>
          <w:rFonts w:ascii="Arial" w:hAnsi="Arial"/>
          <w:b/>
          <w:bCs/>
          <w:sz w:val="26"/>
          <w:szCs w:val="26"/>
          <w:rtl/>
        </w:rPr>
      </w:pPr>
    </w:p>
    <w:p w:rsidR="00EE0211" w:rsidRDefault="00EE0211" w:rsidP="00C55C3B">
      <w:pPr>
        <w:spacing w:line="360" w:lineRule="auto"/>
        <w:jc w:val="both"/>
        <w:rPr>
          <w:rFonts w:ascii="Times New Roman" w:eastAsia="Times New Roman" w:hAnsi="Times New Roman"/>
          <w:rtl/>
        </w:rPr>
      </w:pPr>
    </w:p>
    <w:p w:rsidR="00C55C3B" w:rsidRDefault="00C55C3B" w:rsidP="00C55C3B">
      <w:pPr>
        <w:spacing w:line="360" w:lineRule="auto"/>
        <w:jc w:val="both"/>
        <w:rPr>
          <w:sz w:val="6"/>
          <w:szCs w:val="6"/>
          <w:rtl/>
        </w:rPr>
      </w:pPr>
    </w:p>
    <w:p w:rsidR="00EE0211" w:rsidRDefault="00EE0211">
      <w:pPr>
        <w:spacing w:line="360" w:lineRule="auto"/>
        <w:jc w:val="center"/>
        <w:rPr>
          <w:rFonts w:ascii="Arial" w:hAnsi="Arial"/>
          <w:b/>
          <w:bCs/>
          <w:sz w:val="28"/>
          <w:szCs w:val="28"/>
          <w:u w:val="single"/>
          <w:rtl/>
        </w:rPr>
      </w:pPr>
      <w:r>
        <w:rPr>
          <w:rFonts w:ascii="Arial" w:hAnsi="Arial" w:hint="cs"/>
          <w:b/>
          <w:bCs/>
          <w:sz w:val="28"/>
          <w:szCs w:val="28"/>
          <w:u w:val="single"/>
          <w:rtl/>
        </w:rPr>
        <w:lastRenderedPageBreak/>
        <w:t>פסק דין</w:t>
      </w:r>
    </w:p>
    <w:p w:rsidR="00EE0211" w:rsidRDefault="00EE0211">
      <w:pPr>
        <w:spacing w:line="360" w:lineRule="auto"/>
        <w:jc w:val="both"/>
        <w:rPr>
          <w:rtl/>
        </w:rPr>
      </w:pPr>
    </w:p>
    <w:p w:rsidR="00EE0211" w:rsidRDefault="007B4707" w:rsidP="003B3976">
      <w:pPr>
        <w:pStyle w:val="ac"/>
        <w:numPr>
          <w:ilvl w:val="0"/>
          <w:numId w:val="18"/>
        </w:numPr>
        <w:spacing w:line="360" w:lineRule="auto"/>
        <w:jc w:val="both"/>
      </w:pPr>
      <w:r>
        <w:rPr>
          <w:rFonts w:hint="cs"/>
          <w:rtl/>
        </w:rPr>
        <w:t>בפנינו ערעור המופנה כנגד גזר דינו של בית מ</w:t>
      </w:r>
      <w:r w:rsidR="003B3976">
        <w:rPr>
          <w:rFonts w:hint="cs"/>
          <w:rtl/>
        </w:rPr>
        <w:t>ש</w:t>
      </w:r>
      <w:r>
        <w:rPr>
          <w:rFonts w:hint="cs"/>
          <w:rtl/>
        </w:rPr>
        <w:t>פט השלום בטברי</w:t>
      </w:r>
      <w:r w:rsidR="003B3976">
        <w:rPr>
          <w:rFonts w:hint="cs"/>
          <w:rtl/>
        </w:rPr>
        <w:t>ה</w:t>
      </w:r>
      <w:r>
        <w:rPr>
          <w:rFonts w:hint="cs"/>
          <w:rtl/>
        </w:rPr>
        <w:t xml:space="preserve"> (כב' השופטת נ</w:t>
      </w:r>
      <w:r w:rsidR="003B3976">
        <w:rPr>
          <w:rFonts w:hint="cs"/>
          <w:rtl/>
        </w:rPr>
        <w:t>סרין</w:t>
      </w:r>
      <w:r>
        <w:rPr>
          <w:rFonts w:hint="cs"/>
          <w:rtl/>
        </w:rPr>
        <w:t xml:space="preserve"> </w:t>
      </w:r>
      <w:proofErr w:type="spellStart"/>
      <w:r>
        <w:rPr>
          <w:rFonts w:hint="cs"/>
          <w:rtl/>
        </w:rPr>
        <w:t>אסכנדר</w:t>
      </w:r>
      <w:proofErr w:type="spellEnd"/>
      <w:r>
        <w:rPr>
          <w:rFonts w:hint="cs"/>
          <w:rtl/>
        </w:rPr>
        <w:t xml:space="preserve"> </w:t>
      </w:r>
      <w:r>
        <w:rPr>
          <w:rtl/>
        </w:rPr>
        <w:t>–</w:t>
      </w:r>
      <w:r>
        <w:rPr>
          <w:rFonts w:hint="cs"/>
          <w:rtl/>
        </w:rPr>
        <w:t xml:space="preserve"> מוסא) אשר במסגרת גזר דינו השית על המשיב את העונשים</w:t>
      </w:r>
      <w:r w:rsidR="003B3976">
        <w:rPr>
          <w:rFonts w:hint="cs"/>
          <w:rtl/>
        </w:rPr>
        <w:t xml:space="preserve"> </w:t>
      </w:r>
      <w:r>
        <w:rPr>
          <w:rFonts w:hint="cs"/>
          <w:rtl/>
        </w:rPr>
        <w:t xml:space="preserve">שעניינם 10 ימי מאסר בפועל בניכוי ימי מעצרו, מאסר על תנאי וחיובו בחתימה על התחייבות כספית בסך 5,000 ₪. </w:t>
      </w:r>
    </w:p>
    <w:p w:rsidR="003B3976" w:rsidRDefault="003B3976" w:rsidP="003B3976">
      <w:pPr>
        <w:pStyle w:val="ac"/>
        <w:spacing w:line="360" w:lineRule="auto"/>
        <w:ind w:left="510"/>
        <w:jc w:val="both"/>
      </w:pPr>
    </w:p>
    <w:p w:rsidR="007B4707" w:rsidRDefault="007B4707" w:rsidP="007B4707">
      <w:pPr>
        <w:pStyle w:val="ac"/>
        <w:numPr>
          <w:ilvl w:val="0"/>
          <w:numId w:val="18"/>
        </w:numPr>
        <w:spacing w:line="360" w:lineRule="auto"/>
        <w:jc w:val="both"/>
      </w:pPr>
      <w:r>
        <w:rPr>
          <w:rFonts w:hint="cs"/>
          <w:rtl/>
        </w:rPr>
        <w:t>הערעור שבפנינו</w:t>
      </w:r>
      <w:r w:rsidR="003B3976">
        <w:rPr>
          <w:rFonts w:hint="cs"/>
          <w:rtl/>
        </w:rPr>
        <w:t>,</w:t>
      </w:r>
      <w:r>
        <w:rPr>
          <w:rFonts w:hint="cs"/>
          <w:rtl/>
        </w:rPr>
        <w:t xml:space="preserve"> כאמור</w:t>
      </w:r>
      <w:r w:rsidR="003B3976">
        <w:rPr>
          <w:rFonts w:hint="cs"/>
          <w:rtl/>
        </w:rPr>
        <w:t>,</w:t>
      </w:r>
      <w:r>
        <w:rPr>
          <w:rFonts w:hint="cs"/>
          <w:rtl/>
        </w:rPr>
        <w:t xml:space="preserve"> מופנה כנגד קולת העונשים שהושתו על המשיב כפי גזר דינו של בית המשפט קמא. </w:t>
      </w:r>
    </w:p>
    <w:p w:rsidR="003B3976" w:rsidRDefault="003B3976" w:rsidP="003B3976">
      <w:pPr>
        <w:pStyle w:val="ac"/>
        <w:rPr>
          <w:rtl/>
        </w:rPr>
      </w:pPr>
    </w:p>
    <w:p w:rsidR="003B3976" w:rsidRDefault="003B3976" w:rsidP="003B3976">
      <w:pPr>
        <w:pStyle w:val="ac"/>
        <w:spacing w:line="360" w:lineRule="auto"/>
        <w:ind w:left="510"/>
        <w:jc w:val="both"/>
      </w:pPr>
    </w:p>
    <w:p w:rsidR="007B4707" w:rsidRDefault="007B4707" w:rsidP="007B4707">
      <w:pPr>
        <w:pStyle w:val="ac"/>
        <w:numPr>
          <w:ilvl w:val="0"/>
          <w:numId w:val="18"/>
        </w:numPr>
        <w:spacing w:line="360" w:lineRule="auto"/>
        <w:jc w:val="both"/>
      </w:pPr>
      <w:r>
        <w:rPr>
          <w:rFonts w:hint="cs"/>
          <w:rtl/>
        </w:rPr>
        <w:lastRenderedPageBreak/>
        <w:t xml:space="preserve">המשיב הורשע על פי הודאתו בבית המשפט קמא בעבירה שעניינה כניסה או ישיבה בישראל שלא כחוק </w:t>
      </w:r>
      <w:r>
        <w:rPr>
          <w:rtl/>
        </w:rPr>
        <w:t>–</w:t>
      </w:r>
      <w:r>
        <w:rPr>
          <w:rFonts w:hint="cs"/>
          <w:rtl/>
        </w:rPr>
        <w:t xml:space="preserve"> עבירה לפי סעיף 12(1) לחוק הכניסה לישראל, </w:t>
      </w:r>
      <w:proofErr w:type="spellStart"/>
      <w:r>
        <w:rPr>
          <w:rFonts w:hint="cs"/>
          <w:rtl/>
        </w:rPr>
        <w:t>התשי"ב</w:t>
      </w:r>
      <w:proofErr w:type="spellEnd"/>
      <w:r>
        <w:rPr>
          <w:rFonts w:hint="cs"/>
          <w:rtl/>
        </w:rPr>
        <w:t xml:space="preserve"> </w:t>
      </w:r>
      <w:r>
        <w:rPr>
          <w:rtl/>
        </w:rPr>
        <w:t>–</w:t>
      </w:r>
      <w:r>
        <w:rPr>
          <w:rFonts w:hint="cs"/>
          <w:rtl/>
        </w:rPr>
        <w:t xml:space="preserve"> 1952. </w:t>
      </w:r>
    </w:p>
    <w:p w:rsidR="003B3976" w:rsidRDefault="003B3976" w:rsidP="003B3976">
      <w:pPr>
        <w:pStyle w:val="ac"/>
        <w:spacing w:line="360" w:lineRule="auto"/>
        <w:ind w:left="510"/>
        <w:jc w:val="both"/>
      </w:pPr>
    </w:p>
    <w:p w:rsidR="007B4707" w:rsidRDefault="007B4707" w:rsidP="007B4707">
      <w:pPr>
        <w:pStyle w:val="ac"/>
        <w:numPr>
          <w:ilvl w:val="0"/>
          <w:numId w:val="18"/>
        </w:numPr>
        <w:spacing w:line="360" w:lineRule="auto"/>
        <w:jc w:val="both"/>
      </w:pPr>
      <w:r>
        <w:rPr>
          <w:rFonts w:hint="cs"/>
          <w:rtl/>
        </w:rPr>
        <w:t>בית המשפט קמא</w:t>
      </w:r>
      <w:r w:rsidR="003B3976">
        <w:rPr>
          <w:rFonts w:hint="cs"/>
          <w:rtl/>
        </w:rPr>
        <w:t>,</w:t>
      </w:r>
      <w:r>
        <w:rPr>
          <w:rFonts w:hint="cs"/>
          <w:rtl/>
        </w:rPr>
        <w:t xml:space="preserve"> בהתאם להוראות תיקון 113 לחוק העונשין</w:t>
      </w:r>
      <w:r w:rsidR="003B3976">
        <w:rPr>
          <w:rFonts w:hint="cs"/>
          <w:rtl/>
        </w:rPr>
        <w:t>,</w:t>
      </w:r>
      <w:r>
        <w:rPr>
          <w:rFonts w:hint="cs"/>
          <w:rtl/>
        </w:rPr>
        <w:t xml:space="preserve"> קבע מתחם עונש הולם הנע בין מאסר בפועל של ימים ספורים ועד מאסר  לתקופה של 6 חודשים, בנוסף לענישה נלווית בדמות מאסר מותנה וחיוב בחתימה על התחייבות כספית. </w:t>
      </w:r>
    </w:p>
    <w:p w:rsidR="003B3976" w:rsidRDefault="003B3976" w:rsidP="003B3976">
      <w:pPr>
        <w:pStyle w:val="ac"/>
        <w:rPr>
          <w:rtl/>
        </w:rPr>
      </w:pPr>
    </w:p>
    <w:p w:rsidR="003B3976" w:rsidRDefault="003B3976" w:rsidP="003B3976">
      <w:pPr>
        <w:pStyle w:val="ac"/>
        <w:spacing w:line="360" w:lineRule="auto"/>
        <w:ind w:left="510"/>
        <w:jc w:val="both"/>
      </w:pPr>
    </w:p>
    <w:p w:rsidR="007B4707" w:rsidRDefault="007B4707" w:rsidP="007B4707">
      <w:pPr>
        <w:pStyle w:val="ac"/>
        <w:numPr>
          <w:ilvl w:val="0"/>
          <w:numId w:val="18"/>
        </w:numPr>
        <w:spacing w:line="360" w:lineRule="auto"/>
        <w:jc w:val="both"/>
      </w:pPr>
      <w:r>
        <w:rPr>
          <w:rFonts w:hint="cs"/>
          <w:rtl/>
        </w:rPr>
        <w:t>בהתאמה, ותוך בחינת הנסיבות שאינן קשורות בביצוע העבירה וקביעת העונש הראוי למשיב, השית בית המשפט קמא את העונשים כפי שביארנו לעיל.</w:t>
      </w:r>
    </w:p>
    <w:p w:rsidR="003B3976" w:rsidRDefault="003B3976" w:rsidP="003B3976">
      <w:pPr>
        <w:pStyle w:val="ac"/>
        <w:spacing w:line="360" w:lineRule="auto"/>
        <w:ind w:left="510"/>
        <w:jc w:val="both"/>
      </w:pPr>
    </w:p>
    <w:p w:rsidR="007B4707" w:rsidRDefault="007B4707" w:rsidP="007B4707">
      <w:pPr>
        <w:pStyle w:val="ac"/>
        <w:numPr>
          <w:ilvl w:val="0"/>
          <w:numId w:val="18"/>
        </w:numPr>
        <w:spacing w:line="360" w:lineRule="auto"/>
        <w:jc w:val="both"/>
      </w:pPr>
      <w:r>
        <w:rPr>
          <w:rFonts w:hint="cs"/>
          <w:rtl/>
        </w:rPr>
        <w:lastRenderedPageBreak/>
        <w:t xml:space="preserve">המערערת משיגה על גזר דין זה ומכאן הערעור שבפנינו. לדידה של המערערת, מתחם העונש ההולם כפי שנקבע על ידי בית המשפט קמא נוכח צוק העיתים, המצב הביטחוני והמלחמה הפוקדת את מקומותינו, אין בו כדי לשקלל נכונה את מכלול שיקולי הענישה הצריכים בהקשר זה. בהתאמה, סבורה המערערת כי אף קביעת העונש הראוי למשיב בתוך המתחם, כאמור, אינו נכון, כך שיש אפוא להחמיר בעונשו של המשיב ולהשית עליו ענישה אחרת. </w:t>
      </w:r>
    </w:p>
    <w:p w:rsidR="00B02F8E" w:rsidRDefault="00B02F8E" w:rsidP="00B02F8E">
      <w:pPr>
        <w:pStyle w:val="ac"/>
        <w:rPr>
          <w:rtl/>
        </w:rPr>
      </w:pPr>
    </w:p>
    <w:p w:rsidR="00B02F8E" w:rsidRDefault="00B02F8E" w:rsidP="00B02F8E">
      <w:pPr>
        <w:pStyle w:val="ac"/>
        <w:spacing w:line="360" w:lineRule="auto"/>
        <w:ind w:left="510"/>
        <w:jc w:val="both"/>
      </w:pPr>
    </w:p>
    <w:p w:rsidR="007B4707" w:rsidRDefault="007B4707" w:rsidP="003B3976">
      <w:pPr>
        <w:pStyle w:val="ac"/>
        <w:numPr>
          <w:ilvl w:val="0"/>
          <w:numId w:val="18"/>
        </w:numPr>
        <w:spacing w:line="360" w:lineRule="auto"/>
        <w:jc w:val="both"/>
      </w:pPr>
      <w:r>
        <w:rPr>
          <w:rFonts w:hint="cs"/>
          <w:rtl/>
        </w:rPr>
        <w:t xml:space="preserve">במסגרת הודעת הערעור עותרת המערערת לקבוע מתחם עונש הולם תוך שקלול כל השיקולים הרלוונטיים בהקשר זה כנע בין חודש מאסר בפועל לבין 6 חודשי מאסר בפועל, בצירוף ענישה נלווית בדמות תשלום קנס וכן עונשים נלווים מתאימים.  </w:t>
      </w:r>
      <w:r>
        <w:rPr>
          <w:rFonts w:hint="cs"/>
          <w:rtl/>
        </w:rPr>
        <w:lastRenderedPageBreak/>
        <w:t>בקביעת העונש הראוי למשיב עותרת המערערת כי יושתו על המשיב חודשיים מאסר בפועל וענישה נלווית</w:t>
      </w:r>
      <w:r w:rsidR="003B3976">
        <w:rPr>
          <w:rFonts w:hint="cs"/>
          <w:rtl/>
        </w:rPr>
        <w:t xml:space="preserve">, </w:t>
      </w:r>
      <w:r>
        <w:rPr>
          <w:rFonts w:hint="cs"/>
          <w:rtl/>
        </w:rPr>
        <w:t xml:space="preserve">כפי עתירתה. </w:t>
      </w:r>
    </w:p>
    <w:p w:rsidR="00B02F8E" w:rsidRDefault="00B02F8E" w:rsidP="00B02F8E">
      <w:pPr>
        <w:pStyle w:val="ac"/>
        <w:spacing w:line="360" w:lineRule="auto"/>
        <w:ind w:left="510"/>
        <w:jc w:val="both"/>
      </w:pPr>
    </w:p>
    <w:p w:rsidR="007B4707" w:rsidRDefault="007B4707" w:rsidP="003B3976">
      <w:pPr>
        <w:pStyle w:val="ac"/>
        <w:numPr>
          <w:ilvl w:val="0"/>
          <w:numId w:val="18"/>
        </w:numPr>
        <w:spacing w:line="360" w:lineRule="auto"/>
        <w:jc w:val="both"/>
      </w:pPr>
      <w:r>
        <w:rPr>
          <w:rFonts w:hint="cs"/>
          <w:rtl/>
        </w:rPr>
        <w:t>בהקשר זה, הפנתה המערערת אף לענישה העדכנית הי</w:t>
      </w:r>
      <w:r w:rsidR="00FE0E34">
        <w:rPr>
          <w:rFonts w:hint="cs"/>
          <w:rtl/>
        </w:rPr>
        <w:t xml:space="preserve">וצאת מפתחם של בתי המשפט בעת האחרונה. בהקשר זה, וביתר שאת, הפנתה לפסק דינו של בית משפט מחוזי בבאר שבע בשבתו כבית המשפט לערעורים פליליים בהרכב </w:t>
      </w:r>
      <w:proofErr w:type="spellStart"/>
      <w:r w:rsidR="00FE0E34">
        <w:rPr>
          <w:rFonts w:hint="cs"/>
          <w:rtl/>
        </w:rPr>
        <w:t>תלתא</w:t>
      </w:r>
      <w:proofErr w:type="spellEnd"/>
      <w:r w:rsidR="00FE0E34">
        <w:rPr>
          <w:rFonts w:hint="cs"/>
          <w:rtl/>
        </w:rPr>
        <w:t xml:space="preserve">, </w:t>
      </w:r>
      <w:proofErr w:type="spellStart"/>
      <w:r w:rsidR="00FE0E34" w:rsidRPr="003B3976">
        <w:rPr>
          <w:rFonts w:hint="cs"/>
          <w:b/>
          <w:bCs/>
          <w:rtl/>
        </w:rPr>
        <w:t>בעפ"ג</w:t>
      </w:r>
      <w:proofErr w:type="spellEnd"/>
      <w:r w:rsidR="00FE0E34" w:rsidRPr="003B3976">
        <w:rPr>
          <w:rFonts w:hint="cs"/>
          <w:b/>
          <w:bCs/>
          <w:rtl/>
        </w:rPr>
        <w:t xml:space="preserve"> 31211-10-23 ואח'</w:t>
      </w:r>
      <w:r w:rsidR="00FE0E34">
        <w:rPr>
          <w:rFonts w:hint="cs"/>
          <w:rtl/>
        </w:rPr>
        <w:t xml:space="preserve">, </w:t>
      </w:r>
      <w:r w:rsidR="00FE0E34" w:rsidRPr="003B3976">
        <w:rPr>
          <w:rFonts w:hint="cs"/>
          <w:b/>
          <w:bCs/>
          <w:rtl/>
        </w:rPr>
        <w:t xml:space="preserve">מדינת ישראל נגד </w:t>
      </w:r>
      <w:proofErr w:type="spellStart"/>
      <w:r w:rsidR="00FE0E34" w:rsidRPr="003B3976">
        <w:rPr>
          <w:rFonts w:hint="cs"/>
          <w:b/>
          <w:bCs/>
          <w:rtl/>
        </w:rPr>
        <w:t>אלנג'אר</w:t>
      </w:r>
      <w:proofErr w:type="spellEnd"/>
      <w:r w:rsidR="00FE0E34" w:rsidRPr="003B3976">
        <w:rPr>
          <w:rFonts w:hint="cs"/>
          <w:b/>
          <w:bCs/>
          <w:rtl/>
        </w:rPr>
        <w:t xml:space="preserve"> ואחרים</w:t>
      </w:r>
      <w:r w:rsidR="00FE0E34">
        <w:rPr>
          <w:rFonts w:hint="cs"/>
          <w:rtl/>
        </w:rPr>
        <w:t>, פסק דין שניתן ביום 22/10/23.</w:t>
      </w:r>
      <w:r w:rsidR="003B3976">
        <w:rPr>
          <w:rFonts w:hint="cs"/>
          <w:rtl/>
        </w:rPr>
        <w:t xml:space="preserve"> המערערת</w:t>
      </w:r>
      <w:r w:rsidR="00FE0E34">
        <w:rPr>
          <w:rFonts w:hint="cs"/>
          <w:rtl/>
        </w:rPr>
        <w:t xml:space="preserve"> הפנתה לקביעות בית המשפט שם באשר לקביעת מתחם העונש ההולם וכן למיקום העונש הראוי למשיבים</w:t>
      </w:r>
      <w:r w:rsidR="003B3976">
        <w:rPr>
          <w:rFonts w:hint="cs"/>
          <w:rtl/>
        </w:rPr>
        <w:t>,</w:t>
      </w:r>
      <w:r w:rsidR="00FE0E34">
        <w:rPr>
          <w:rFonts w:hint="cs"/>
          <w:rtl/>
        </w:rPr>
        <w:t xml:space="preserve"> כפי פסק הדין. </w:t>
      </w:r>
    </w:p>
    <w:p w:rsidR="00B02F8E" w:rsidRDefault="00B02F8E" w:rsidP="00B02F8E">
      <w:pPr>
        <w:pStyle w:val="ac"/>
        <w:rPr>
          <w:rtl/>
        </w:rPr>
      </w:pPr>
    </w:p>
    <w:p w:rsidR="00B02F8E" w:rsidRDefault="00B02F8E" w:rsidP="00B02F8E">
      <w:pPr>
        <w:pStyle w:val="ac"/>
        <w:spacing w:line="360" w:lineRule="auto"/>
        <w:ind w:left="510"/>
        <w:jc w:val="both"/>
      </w:pPr>
    </w:p>
    <w:p w:rsidR="00FE0E34" w:rsidRDefault="00FE0E34" w:rsidP="00B02F8E">
      <w:pPr>
        <w:pStyle w:val="ac"/>
        <w:numPr>
          <w:ilvl w:val="0"/>
          <w:numId w:val="18"/>
        </w:numPr>
        <w:spacing w:line="360" w:lineRule="auto"/>
        <w:jc w:val="both"/>
      </w:pPr>
      <w:r>
        <w:rPr>
          <w:rFonts w:hint="cs"/>
          <w:rtl/>
        </w:rPr>
        <w:lastRenderedPageBreak/>
        <w:t xml:space="preserve">יצוין, כי בהודעת הערעור בכתב עתרה המערערת כפי עמדתה </w:t>
      </w:r>
      <w:proofErr w:type="spellStart"/>
      <w:r>
        <w:rPr>
          <w:rFonts w:hint="cs"/>
          <w:rtl/>
        </w:rPr>
        <w:t>העונשית</w:t>
      </w:r>
      <w:proofErr w:type="spellEnd"/>
      <w:r>
        <w:rPr>
          <w:rFonts w:hint="cs"/>
          <w:rtl/>
        </w:rPr>
        <w:t xml:space="preserve"> בערכאות בבית המשפט קמא וכן בפני בית המשפט המחוזי בבאר שבע וכן בפני בית משפט קמא בהליך שבפנינו כי ייקבע מתחם עונש הולם בנסיבות הקשורות בביצוע העבירה בהינתן המצב הביטחוני, ומכלול השיקולים, כנע בין חודש מאסר בפועל ל </w:t>
      </w:r>
      <w:r>
        <w:rPr>
          <w:rtl/>
        </w:rPr>
        <w:t>–</w:t>
      </w:r>
      <w:r>
        <w:rPr>
          <w:rFonts w:hint="cs"/>
          <w:rtl/>
        </w:rPr>
        <w:t xml:space="preserve"> 6 חודשי מאסר בפועל. יחד עם זאת, בדיון שהתקיים בפנינו היום עדכנה באת </w:t>
      </w:r>
      <w:proofErr w:type="spellStart"/>
      <w:r>
        <w:rPr>
          <w:rFonts w:hint="cs"/>
          <w:rtl/>
        </w:rPr>
        <w:t>כח</w:t>
      </w:r>
      <w:proofErr w:type="spellEnd"/>
      <w:r>
        <w:rPr>
          <w:rFonts w:hint="cs"/>
          <w:rtl/>
        </w:rPr>
        <w:t xml:space="preserve"> המערערת</w:t>
      </w:r>
      <w:r w:rsidR="003B3976">
        <w:rPr>
          <w:rFonts w:hint="cs"/>
          <w:rtl/>
        </w:rPr>
        <w:t>,</w:t>
      </w:r>
      <w:r>
        <w:rPr>
          <w:rFonts w:hint="cs"/>
          <w:rtl/>
        </w:rPr>
        <w:t xml:space="preserve"> כי בשל קריאותיהם של בתי המשפט השונים וכן אמירתו של בית המשפט המחוזי בעניין </w:t>
      </w:r>
      <w:proofErr w:type="spellStart"/>
      <w:r>
        <w:rPr>
          <w:rFonts w:hint="cs"/>
          <w:rtl/>
        </w:rPr>
        <w:t>אלנג'אר</w:t>
      </w:r>
      <w:proofErr w:type="spellEnd"/>
      <w:r w:rsidR="003B3976">
        <w:rPr>
          <w:rFonts w:hint="cs"/>
          <w:rtl/>
        </w:rPr>
        <w:t xml:space="preserve">, </w:t>
      </w:r>
      <w:proofErr w:type="spellStart"/>
      <w:r w:rsidR="003B3976">
        <w:rPr>
          <w:rFonts w:hint="cs"/>
          <w:rtl/>
        </w:rPr>
        <w:t>עותרתהיא</w:t>
      </w:r>
      <w:proofErr w:type="spellEnd"/>
      <w:r w:rsidR="003B3976">
        <w:rPr>
          <w:rFonts w:hint="cs"/>
          <w:rtl/>
        </w:rPr>
        <w:t xml:space="preserve"> לקביעת </w:t>
      </w:r>
      <w:r>
        <w:rPr>
          <w:rFonts w:hint="cs"/>
          <w:rtl/>
        </w:rPr>
        <w:t>מתחם עונש הולם הנע בין 2 חודשי מאסר בפועל לבין 7 חודשי מאסר בפועל</w:t>
      </w:r>
      <w:r w:rsidR="003B3976">
        <w:rPr>
          <w:rFonts w:hint="cs"/>
          <w:rtl/>
        </w:rPr>
        <w:t xml:space="preserve"> וכי המערערת </w:t>
      </w:r>
      <w:r>
        <w:rPr>
          <w:rFonts w:hint="cs"/>
          <w:rtl/>
        </w:rPr>
        <w:t xml:space="preserve">עדכנה </w:t>
      </w:r>
      <w:r w:rsidR="003B3976">
        <w:rPr>
          <w:rFonts w:hint="cs"/>
          <w:rtl/>
        </w:rPr>
        <w:t>א</w:t>
      </w:r>
      <w:r>
        <w:rPr>
          <w:rFonts w:hint="cs"/>
          <w:rtl/>
        </w:rPr>
        <w:t xml:space="preserve">ת עמדתה </w:t>
      </w:r>
      <w:proofErr w:type="spellStart"/>
      <w:r>
        <w:rPr>
          <w:rFonts w:hint="cs"/>
          <w:rtl/>
        </w:rPr>
        <w:t>העונשית</w:t>
      </w:r>
      <w:proofErr w:type="spellEnd"/>
      <w:r>
        <w:rPr>
          <w:rFonts w:hint="cs"/>
          <w:rtl/>
        </w:rPr>
        <w:t xml:space="preserve"> במקרים כגון דא, כך שזו עומדת על</w:t>
      </w:r>
      <w:r w:rsidR="003B3976">
        <w:rPr>
          <w:rFonts w:hint="cs"/>
          <w:rtl/>
        </w:rPr>
        <w:t xml:space="preserve"> </w:t>
      </w:r>
      <w:r>
        <w:rPr>
          <w:rFonts w:hint="cs"/>
          <w:rtl/>
        </w:rPr>
        <w:t xml:space="preserve">המתחם האמור כפי שנקבע בפסק דינו של בית משפט המחוזי בבאר שבע. יחד עם זאת, ונוכח עמדתה </w:t>
      </w:r>
      <w:proofErr w:type="spellStart"/>
      <w:r>
        <w:rPr>
          <w:rFonts w:hint="cs"/>
          <w:rtl/>
        </w:rPr>
        <w:t>העונשית</w:t>
      </w:r>
      <w:proofErr w:type="spellEnd"/>
      <w:r>
        <w:rPr>
          <w:rFonts w:hint="cs"/>
          <w:rtl/>
        </w:rPr>
        <w:t xml:space="preserve"> של המערערת בעניינו של המשיב דנן, עתרה לקביעת מתחם הנע בין </w:t>
      </w:r>
      <w:r w:rsidR="003B3976">
        <w:rPr>
          <w:rFonts w:hint="cs"/>
          <w:rtl/>
        </w:rPr>
        <w:t xml:space="preserve">1 </w:t>
      </w:r>
      <w:r>
        <w:rPr>
          <w:rFonts w:hint="cs"/>
          <w:rtl/>
        </w:rPr>
        <w:t xml:space="preserve"> ל </w:t>
      </w:r>
      <w:r>
        <w:rPr>
          <w:rtl/>
        </w:rPr>
        <w:t>–</w:t>
      </w:r>
      <w:r>
        <w:rPr>
          <w:rFonts w:hint="cs"/>
          <w:rtl/>
        </w:rPr>
        <w:t xml:space="preserve"> 6 חודשי מאסר ולהשית עליו, כאמור </w:t>
      </w:r>
      <w:r>
        <w:rPr>
          <w:rFonts w:hint="cs"/>
          <w:rtl/>
        </w:rPr>
        <w:lastRenderedPageBreak/>
        <w:t xml:space="preserve">חודשיים מאסר בפועל מן ההנמקות המפורטות על ידה בפרוטוקול הדיון מהיום והודעת הערעור שבכתב. </w:t>
      </w:r>
    </w:p>
    <w:p w:rsidR="00B02F8E" w:rsidRDefault="00B02F8E" w:rsidP="00B02F8E">
      <w:pPr>
        <w:pStyle w:val="ac"/>
        <w:spacing w:line="360" w:lineRule="auto"/>
        <w:ind w:left="510"/>
        <w:jc w:val="both"/>
      </w:pPr>
    </w:p>
    <w:p w:rsidR="00FE0E34" w:rsidRDefault="00FE0E34" w:rsidP="003B3976">
      <w:pPr>
        <w:pStyle w:val="ac"/>
        <w:numPr>
          <w:ilvl w:val="0"/>
          <w:numId w:val="18"/>
        </w:numPr>
        <w:spacing w:line="360" w:lineRule="auto"/>
        <w:jc w:val="both"/>
      </w:pPr>
      <w:r>
        <w:rPr>
          <w:rFonts w:hint="cs"/>
          <w:rtl/>
        </w:rPr>
        <w:t xml:space="preserve">מנגד, באי </w:t>
      </w:r>
      <w:proofErr w:type="spellStart"/>
      <w:r>
        <w:rPr>
          <w:rFonts w:hint="cs"/>
          <w:rtl/>
        </w:rPr>
        <w:t>כח</w:t>
      </w:r>
      <w:proofErr w:type="spellEnd"/>
      <w:r>
        <w:rPr>
          <w:rFonts w:hint="cs"/>
          <w:rtl/>
        </w:rPr>
        <w:t xml:space="preserve"> המשיב עותרים לדחיית הערעור על כל חלקיו. בהתאמה, עותרים הם להותיר את גזר דינו של בית המשפט קמא כאמור על כל רכיביו, על כנו. כך טענו באי </w:t>
      </w:r>
      <w:proofErr w:type="spellStart"/>
      <w:r>
        <w:rPr>
          <w:rFonts w:hint="cs"/>
          <w:rtl/>
        </w:rPr>
        <w:t>כח</w:t>
      </w:r>
      <w:proofErr w:type="spellEnd"/>
      <w:r>
        <w:rPr>
          <w:rFonts w:hint="cs"/>
          <w:rtl/>
        </w:rPr>
        <w:t xml:space="preserve"> המשיב כי במד</w:t>
      </w:r>
      <w:r w:rsidR="003B3976">
        <w:rPr>
          <w:rFonts w:hint="cs"/>
          <w:rtl/>
        </w:rPr>
        <w:t>ינ</w:t>
      </w:r>
      <w:r>
        <w:rPr>
          <w:rFonts w:hint="cs"/>
          <w:rtl/>
        </w:rPr>
        <w:t>יות העמדה לדין אשר יוצאת בעת האחר</w:t>
      </w:r>
      <w:r w:rsidR="00AE3780">
        <w:rPr>
          <w:rFonts w:hint="cs"/>
          <w:rtl/>
        </w:rPr>
        <w:t>ו</w:t>
      </w:r>
      <w:r>
        <w:rPr>
          <w:rFonts w:hint="cs"/>
          <w:rtl/>
        </w:rPr>
        <w:t>נה מפתחה של המערערת כבר חלה החמרה בענישה שעה שתחת גירוש שוהים בלתי חוקיים בכניסתם הראשונה והשנייה והעמדתם לדין רק בכניסתם השלישית, עומדים עתה לדין שוהים בלתי חוקיים כבר בכניסותיהם הראשונות. בכך,</w:t>
      </w:r>
      <w:r w:rsidR="003B3976">
        <w:rPr>
          <w:rFonts w:hint="cs"/>
          <w:rtl/>
        </w:rPr>
        <w:t xml:space="preserve"> </w:t>
      </w:r>
      <w:r>
        <w:rPr>
          <w:rFonts w:hint="cs"/>
          <w:rtl/>
        </w:rPr>
        <w:t xml:space="preserve">כך לדידה של ההגנה, יש כדי להחמיר את מצבם של השוהים הבלתי חוקיים ולהביא להחמרה בענישתם. </w:t>
      </w:r>
    </w:p>
    <w:p w:rsidR="00B02F8E" w:rsidRDefault="00B02F8E" w:rsidP="00B02F8E">
      <w:pPr>
        <w:pStyle w:val="ac"/>
        <w:rPr>
          <w:rtl/>
        </w:rPr>
      </w:pPr>
    </w:p>
    <w:p w:rsidR="00FE0E34" w:rsidRDefault="00FE0E34" w:rsidP="00FE0E34">
      <w:pPr>
        <w:pStyle w:val="ac"/>
        <w:numPr>
          <w:ilvl w:val="0"/>
          <w:numId w:val="18"/>
        </w:numPr>
        <w:spacing w:line="360" w:lineRule="auto"/>
        <w:jc w:val="both"/>
      </w:pPr>
      <w:r>
        <w:rPr>
          <w:rFonts w:hint="cs"/>
          <w:rtl/>
        </w:rPr>
        <w:lastRenderedPageBreak/>
        <w:t xml:space="preserve">ב"כ המשיב הוסיפו וטענו בדבר ההשלכות והקשיים הכרוכים בהותרת שוהים בלתי חוקיים משך תקופה ניכרת יותר מאחורי סורג ובריח במדינה, המשאבים הנדרשים לכך, שעה שלדידה הדבר נעדר כל הצדקה עניינית. </w:t>
      </w:r>
    </w:p>
    <w:p w:rsidR="00B02F8E" w:rsidRDefault="00B02F8E" w:rsidP="00B02F8E">
      <w:pPr>
        <w:pStyle w:val="ac"/>
        <w:spacing w:line="360" w:lineRule="auto"/>
        <w:ind w:left="510"/>
        <w:jc w:val="both"/>
      </w:pPr>
    </w:p>
    <w:p w:rsidR="00FE0E34" w:rsidRDefault="00FE0E34" w:rsidP="00AE3780">
      <w:pPr>
        <w:pStyle w:val="ac"/>
        <w:numPr>
          <w:ilvl w:val="0"/>
          <w:numId w:val="18"/>
        </w:numPr>
        <w:spacing w:line="360" w:lineRule="auto"/>
        <w:jc w:val="both"/>
      </w:pPr>
      <w:r>
        <w:rPr>
          <w:rFonts w:hint="cs"/>
          <w:rtl/>
        </w:rPr>
        <w:t xml:space="preserve">עוד ראו באי </w:t>
      </w:r>
      <w:proofErr w:type="spellStart"/>
      <w:r>
        <w:rPr>
          <w:rFonts w:hint="cs"/>
          <w:rtl/>
        </w:rPr>
        <w:t>כח</w:t>
      </w:r>
      <w:proofErr w:type="spellEnd"/>
      <w:r>
        <w:rPr>
          <w:rFonts w:hint="cs"/>
          <w:rtl/>
        </w:rPr>
        <w:t xml:space="preserve"> המ</w:t>
      </w:r>
      <w:r w:rsidR="00AE3780">
        <w:rPr>
          <w:rFonts w:hint="cs"/>
          <w:rtl/>
        </w:rPr>
        <w:t xml:space="preserve">שיב לאבחן את קביעותיו של בית המשפט המחוזי בבאר שבע בעניין </w:t>
      </w:r>
      <w:proofErr w:type="spellStart"/>
      <w:r w:rsidR="00AE3780">
        <w:rPr>
          <w:rFonts w:hint="cs"/>
          <w:rtl/>
        </w:rPr>
        <w:t>אלנג'אר</w:t>
      </w:r>
      <w:proofErr w:type="spellEnd"/>
      <w:r w:rsidR="00AE3780">
        <w:rPr>
          <w:rFonts w:hint="cs"/>
          <w:rtl/>
        </w:rPr>
        <w:t xml:space="preserve"> מעניינו של המקרה דנן, שעה שפסק הדין שם ניתן בהתייחס למחוז הדרום, אשר ממנו יצאה הרעה, שם מורגשת ובאה לידי ביטוי המלחמה ביתר שאת ובהשלכה לכך קביעת מתחם העונש ההולם בהינתן המצב הביטחוני, הצורך בהחמרה בענישה, מידת הפגיעה בערכים החברתיים המוגנים, זאת בשונה מיתר המחוזות בארץ וביתר שאת מחוז הצפון.  </w:t>
      </w:r>
    </w:p>
    <w:p w:rsidR="00B02F8E" w:rsidRDefault="00B02F8E" w:rsidP="00B02F8E">
      <w:pPr>
        <w:pStyle w:val="ac"/>
        <w:spacing w:line="360" w:lineRule="auto"/>
        <w:ind w:left="510"/>
        <w:jc w:val="both"/>
      </w:pPr>
    </w:p>
    <w:p w:rsidR="00AE3780" w:rsidRDefault="00AE3780" w:rsidP="003B3976">
      <w:pPr>
        <w:pStyle w:val="ac"/>
        <w:numPr>
          <w:ilvl w:val="0"/>
          <w:numId w:val="18"/>
        </w:numPr>
        <w:spacing w:line="360" w:lineRule="auto"/>
        <w:jc w:val="both"/>
      </w:pPr>
      <w:r>
        <w:rPr>
          <w:rFonts w:hint="cs"/>
          <w:rtl/>
        </w:rPr>
        <w:lastRenderedPageBreak/>
        <w:t xml:space="preserve">באי </w:t>
      </w:r>
      <w:proofErr w:type="spellStart"/>
      <w:r>
        <w:rPr>
          <w:rFonts w:hint="cs"/>
          <w:rtl/>
        </w:rPr>
        <w:t>כח</w:t>
      </w:r>
      <w:proofErr w:type="spellEnd"/>
      <w:r>
        <w:rPr>
          <w:rFonts w:hint="cs"/>
          <w:rtl/>
        </w:rPr>
        <w:t xml:space="preserve"> המשיב הוסיפו וטענו באשר</w:t>
      </w:r>
      <w:r w:rsidR="003B3976">
        <w:rPr>
          <w:rFonts w:hint="cs"/>
          <w:rtl/>
        </w:rPr>
        <w:t xml:space="preserve"> </w:t>
      </w:r>
      <w:r>
        <w:rPr>
          <w:rFonts w:hint="cs"/>
          <w:rtl/>
        </w:rPr>
        <w:t xml:space="preserve">לנסיבותיו של המשיב שעה שמדובר במי שהוא נעדר עבר פלילי, אב לשישה ילדים קטינים הסמוכים לשולחנו, נכנס לצרכי עבודה ולא נוספו עבירות נלוות לכניסתו הבלתי חוקית כאמור. </w:t>
      </w:r>
    </w:p>
    <w:p w:rsidR="00B02F8E" w:rsidRDefault="00B02F8E" w:rsidP="00B02F8E">
      <w:pPr>
        <w:pStyle w:val="ac"/>
        <w:rPr>
          <w:rtl/>
        </w:rPr>
      </w:pPr>
    </w:p>
    <w:p w:rsidR="00AE3780" w:rsidRDefault="00AE3780" w:rsidP="00AE3780">
      <w:pPr>
        <w:pStyle w:val="ac"/>
        <w:numPr>
          <w:ilvl w:val="0"/>
          <w:numId w:val="18"/>
        </w:numPr>
        <w:spacing w:line="360" w:lineRule="auto"/>
        <w:jc w:val="both"/>
      </w:pPr>
      <w:r>
        <w:rPr>
          <w:rFonts w:hint="cs"/>
          <w:rtl/>
        </w:rPr>
        <w:t xml:space="preserve">לאחר ששמענו את טיעוני הצדדים, עיינו בגזר דינו של בית המשפט קמא, עיינו בהודעת הערעור שבכתב וכן באסמכתאות ובפסיקה הרלוונטית בהקשר זה, לרבות זו העדכנית, תוך עריכת איזון ראוי בין האינטרסים השונים הנלחמים על הבכורה, באנו לכלל מסקנה כי דין הערעור להתקבל. יחד עם זאת, תוצאתו האופרטיבית של ערעור זה, תהא שונה מזו אליה עותרת המערערת מן ההנמקות שיובאו להלן. </w:t>
      </w:r>
    </w:p>
    <w:p w:rsidR="00B02F8E" w:rsidRDefault="00B02F8E" w:rsidP="00B02F8E">
      <w:pPr>
        <w:pStyle w:val="ac"/>
        <w:rPr>
          <w:rtl/>
        </w:rPr>
      </w:pPr>
    </w:p>
    <w:p w:rsidR="00AE3780" w:rsidRDefault="00AE3780" w:rsidP="00C10BE0">
      <w:pPr>
        <w:pStyle w:val="ac"/>
        <w:numPr>
          <w:ilvl w:val="0"/>
          <w:numId w:val="18"/>
        </w:numPr>
        <w:spacing w:line="360" w:lineRule="auto"/>
        <w:jc w:val="both"/>
      </w:pPr>
      <w:r>
        <w:rPr>
          <w:rFonts w:hint="cs"/>
          <w:rtl/>
        </w:rPr>
        <w:t xml:space="preserve">ברי הוא כי נוכח צוק העיתים, המלחמה הפוקדת את מקומותינו, המצב הביטחוני והכרזת מצב חירום, הרי שיש לכל אלה נפקות ויש לתת להם את הביטוי ואת המשקל </w:t>
      </w:r>
      <w:r>
        <w:rPr>
          <w:rFonts w:hint="cs"/>
          <w:rtl/>
        </w:rPr>
        <w:lastRenderedPageBreak/>
        <w:t>הסגולי הראוי בקביעת מתחם העונש ההולם בעבירה שעניינה כניסה או ישיבה בישראל שלא כחוק. בהקשר זה, ברי הוא</w:t>
      </w:r>
      <w:r w:rsidR="00C10BE0">
        <w:rPr>
          <w:rFonts w:hint="cs"/>
          <w:rtl/>
        </w:rPr>
        <w:t>,</w:t>
      </w:r>
      <w:r>
        <w:rPr>
          <w:rFonts w:hint="cs"/>
          <w:rtl/>
        </w:rPr>
        <w:t xml:space="preserve"> כפי גם קביעתו של בית המ</w:t>
      </w:r>
      <w:r w:rsidR="00C10BE0">
        <w:rPr>
          <w:rFonts w:hint="cs"/>
          <w:rtl/>
        </w:rPr>
        <w:t>ש</w:t>
      </w:r>
      <w:r>
        <w:rPr>
          <w:rFonts w:hint="cs"/>
          <w:rtl/>
        </w:rPr>
        <w:t xml:space="preserve">פט קמא, כי מידת הפגיעה בערכים החברתיים המוגנים לעת הזו הינה מוחשית ומשמעותית הרבה יותר בעבירה כגון דא ולכך השלכה משמעותית באשר לקביעת מתחם העונש ההולם בעבירה זו. יוער כי אף בהלכת </w:t>
      </w:r>
      <w:proofErr w:type="spellStart"/>
      <w:r>
        <w:rPr>
          <w:rFonts w:hint="cs"/>
          <w:rtl/>
        </w:rPr>
        <w:t>אלהרוש</w:t>
      </w:r>
      <w:proofErr w:type="spellEnd"/>
      <w:r>
        <w:rPr>
          <w:rFonts w:hint="cs"/>
          <w:rtl/>
        </w:rPr>
        <w:t xml:space="preserve"> הרלוונטית לבחינת המקרה דנן, נקבע בין היתר בהנמקות פסק הדין שם, כי למצב הביטחוני השורר בארץ, השלכה באשר לקביעת מתחם העונש ההולם ולפיכך, קביעתו זו של בית המשפט המחוזי בבאר שבע וקביעתנו שלנו, עולה בקנה אחד גם עם קביעותיו הרוחביות של בית משפט העליון בעניין </w:t>
      </w:r>
      <w:proofErr w:type="spellStart"/>
      <w:r>
        <w:rPr>
          <w:rFonts w:hint="cs"/>
          <w:rtl/>
        </w:rPr>
        <w:t>אלהרוש</w:t>
      </w:r>
      <w:proofErr w:type="spellEnd"/>
      <w:r>
        <w:rPr>
          <w:rFonts w:hint="cs"/>
          <w:rtl/>
        </w:rPr>
        <w:t xml:space="preserve">. </w:t>
      </w:r>
    </w:p>
    <w:p w:rsidR="00B02F8E" w:rsidRDefault="00B02F8E" w:rsidP="00B02F8E">
      <w:pPr>
        <w:pStyle w:val="ac"/>
        <w:rPr>
          <w:rtl/>
        </w:rPr>
      </w:pPr>
    </w:p>
    <w:p w:rsidR="00AE3780" w:rsidRDefault="00AE3780" w:rsidP="00C10BE0">
      <w:pPr>
        <w:pStyle w:val="ac"/>
        <w:numPr>
          <w:ilvl w:val="0"/>
          <w:numId w:val="18"/>
        </w:numPr>
        <w:spacing w:line="360" w:lineRule="auto"/>
        <w:jc w:val="both"/>
      </w:pPr>
      <w:r>
        <w:rPr>
          <w:rFonts w:hint="cs"/>
          <w:rtl/>
        </w:rPr>
        <w:t>בהקשר זה, נציין כי בחנו לעומק</w:t>
      </w:r>
      <w:r w:rsidR="00C10BE0">
        <w:rPr>
          <w:rFonts w:hint="cs"/>
          <w:rtl/>
        </w:rPr>
        <w:t xml:space="preserve">, </w:t>
      </w:r>
      <w:r>
        <w:rPr>
          <w:rFonts w:hint="cs"/>
          <w:rtl/>
        </w:rPr>
        <w:t>בין היתר</w:t>
      </w:r>
      <w:r w:rsidR="00C10BE0">
        <w:rPr>
          <w:rFonts w:hint="cs"/>
          <w:rtl/>
        </w:rPr>
        <w:t xml:space="preserve">, </w:t>
      </w:r>
      <w:r>
        <w:rPr>
          <w:rFonts w:hint="cs"/>
          <w:rtl/>
        </w:rPr>
        <w:t xml:space="preserve">גם את פסיקת בית המשפט המחוזי בבאר שבע בעניין </w:t>
      </w:r>
      <w:proofErr w:type="spellStart"/>
      <w:r>
        <w:rPr>
          <w:rFonts w:hint="cs"/>
          <w:rtl/>
        </w:rPr>
        <w:t>אלנג'</w:t>
      </w:r>
      <w:r w:rsidR="000E529B">
        <w:rPr>
          <w:rFonts w:hint="cs"/>
          <w:rtl/>
        </w:rPr>
        <w:t>אר</w:t>
      </w:r>
      <w:proofErr w:type="spellEnd"/>
      <w:r w:rsidR="000E529B">
        <w:rPr>
          <w:rFonts w:hint="cs"/>
          <w:rtl/>
        </w:rPr>
        <w:t xml:space="preserve"> ואחרים ואנו סבורות</w:t>
      </w:r>
      <w:r w:rsidR="00C10BE0">
        <w:rPr>
          <w:rFonts w:hint="cs"/>
          <w:rtl/>
        </w:rPr>
        <w:t>,</w:t>
      </w:r>
      <w:r w:rsidR="000E529B">
        <w:rPr>
          <w:rFonts w:hint="cs"/>
          <w:rtl/>
        </w:rPr>
        <w:t xml:space="preserve"> בעיקרם של דברים</w:t>
      </w:r>
      <w:r w:rsidR="00C10BE0">
        <w:rPr>
          <w:rFonts w:hint="cs"/>
          <w:rtl/>
        </w:rPr>
        <w:t>,</w:t>
      </w:r>
      <w:r w:rsidR="000E529B">
        <w:rPr>
          <w:rFonts w:hint="cs"/>
          <w:rtl/>
        </w:rPr>
        <w:t xml:space="preserve"> כי קביעות בית </w:t>
      </w:r>
      <w:r w:rsidR="000E529B">
        <w:rPr>
          <w:rFonts w:hint="cs"/>
          <w:rtl/>
        </w:rPr>
        <w:lastRenderedPageBreak/>
        <w:t xml:space="preserve">המשפט </w:t>
      </w:r>
      <w:r w:rsidR="00C10BE0">
        <w:rPr>
          <w:rFonts w:hint="cs"/>
          <w:rtl/>
        </w:rPr>
        <w:t xml:space="preserve">המחוזי </w:t>
      </w:r>
      <w:r w:rsidR="000E529B">
        <w:rPr>
          <w:rFonts w:hint="cs"/>
          <w:rtl/>
        </w:rPr>
        <w:t>שם נכונות הן ואין לנו אלא להצטרף אליהן. בהקשר זה, תמימות דע</w:t>
      </w:r>
      <w:r w:rsidR="00C10BE0">
        <w:rPr>
          <w:rFonts w:hint="cs"/>
          <w:rtl/>
        </w:rPr>
        <w:t>ים</w:t>
      </w:r>
      <w:r w:rsidR="000E529B">
        <w:rPr>
          <w:rFonts w:hint="cs"/>
          <w:rtl/>
        </w:rPr>
        <w:t xml:space="preserve"> אנו עם קביעותיו של בית המשפט המחוזי בבאר שבע בעיקרם של דברים, בהתייחס להנמקות שהובאו על ידו ולקביעת מתחם העונש ההולם העקרוני אשר ראה לקבוע בעבירה של כניסה או ישיבה בישראל שלא כחוק</w:t>
      </w:r>
      <w:r w:rsidR="00C10BE0">
        <w:rPr>
          <w:rFonts w:hint="cs"/>
          <w:rtl/>
        </w:rPr>
        <w:t xml:space="preserve"> כנע בין חודשיים עד 7 חודשי מאסר בפועל</w:t>
      </w:r>
      <w:r w:rsidR="000E529B">
        <w:rPr>
          <w:rFonts w:hint="cs"/>
          <w:rtl/>
        </w:rPr>
        <w:t xml:space="preserve">. בהקשר זה נרצה להפנות </w:t>
      </w:r>
      <w:r w:rsidR="00C10BE0">
        <w:rPr>
          <w:rFonts w:hint="cs"/>
          <w:rtl/>
        </w:rPr>
        <w:t>"</w:t>
      </w:r>
      <w:r w:rsidR="000E529B">
        <w:rPr>
          <w:rFonts w:hint="cs"/>
          <w:rtl/>
        </w:rPr>
        <w:t>ברחל בתך הקטנה</w:t>
      </w:r>
      <w:r w:rsidR="00C10BE0">
        <w:rPr>
          <w:rFonts w:hint="cs"/>
          <w:rtl/>
        </w:rPr>
        <w:t>"</w:t>
      </w:r>
      <w:r w:rsidR="000E529B">
        <w:rPr>
          <w:rFonts w:hint="cs"/>
          <w:rtl/>
        </w:rPr>
        <w:t xml:space="preserve"> לקביעות בית המשפט שם וראה בעניין זה עמודים 14 עד 15 לפסק הדין בעניין </w:t>
      </w:r>
      <w:proofErr w:type="spellStart"/>
      <w:r w:rsidR="000E529B">
        <w:rPr>
          <w:rFonts w:hint="cs"/>
          <w:rtl/>
        </w:rPr>
        <w:t>אלנג'אר</w:t>
      </w:r>
      <w:proofErr w:type="spellEnd"/>
      <w:r w:rsidR="000E529B">
        <w:rPr>
          <w:rFonts w:hint="cs"/>
          <w:rtl/>
        </w:rPr>
        <w:t xml:space="preserve">. </w:t>
      </w:r>
    </w:p>
    <w:p w:rsidR="00B02F8E" w:rsidRDefault="00B02F8E" w:rsidP="00B02F8E">
      <w:pPr>
        <w:pStyle w:val="ac"/>
        <w:rPr>
          <w:rtl/>
        </w:rPr>
      </w:pPr>
    </w:p>
    <w:p w:rsidR="00C10BE0" w:rsidRDefault="00C10BE0" w:rsidP="00C10BE0">
      <w:pPr>
        <w:pStyle w:val="ac"/>
        <w:numPr>
          <w:ilvl w:val="0"/>
          <w:numId w:val="18"/>
        </w:numPr>
        <w:spacing w:line="360" w:lineRule="auto"/>
        <w:jc w:val="both"/>
      </w:pPr>
      <w:r>
        <w:rPr>
          <w:rFonts w:hint="cs"/>
          <w:rtl/>
        </w:rPr>
        <w:t xml:space="preserve">איננו סבורות כי יש לאבחן את המצב הביטחוני בהקשרו של קביעת מתחם העונש ההולם בין עניינו של מחוז דרום לבין עניינם של המחוזות האחרים בארץ. בהקשר זה נבאר ונציין כי המלחמה מקבלת את ביטויה גם במצב הביטחוני השורר במחוזות נוספים בארצנו, לדוגמא הן במחוז המרכז שעה ששם נתונים אזרחים רבים לירי רקטי משתנה מפעם לפעם וכך גם במחוזנו, מחוז הצפון, בהינתן ההתרחשויות </w:t>
      </w:r>
      <w:r>
        <w:rPr>
          <w:rFonts w:hint="cs"/>
          <w:rtl/>
        </w:rPr>
        <w:lastRenderedPageBreak/>
        <w:t xml:space="preserve">הביטחוניות הפוקדות אותנו מעת לעת בימים האחרונים. לפיכך, עתירתה של ההגנה לעריכת אבחנה בפסק דינו של בית המשפט המחוזי בבאר שבע בין מחוז הדרום למחוזות האחרים, אינה נדרשת ואינה מתאימה לדידנו. </w:t>
      </w:r>
    </w:p>
    <w:p w:rsidR="00C10BE0" w:rsidRDefault="00C10BE0" w:rsidP="00C10BE0">
      <w:pPr>
        <w:pStyle w:val="ac"/>
        <w:spacing w:line="360" w:lineRule="auto"/>
        <w:ind w:left="510"/>
        <w:jc w:val="both"/>
      </w:pPr>
    </w:p>
    <w:p w:rsidR="000E529B" w:rsidRDefault="000E529B" w:rsidP="000E529B">
      <w:pPr>
        <w:pStyle w:val="ac"/>
        <w:numPr>
          <w:ilvl w:val="0"/>
          <w:numId w:val="18"/>
        </w:numPr>
        <w:spacing w:line="360" w:lineRule="auto"/>
        <w:jc w:val="both"/>
      </w:pPr>
      <w:r>
        <w:rPr>
          <w:rFonts w:hint="cs"/>
          <w:rtl/>
        </w:rPr>
        <w:t xml:space="preserve">יחד עם זאת, מקום בו בעמדתה </w:t>
      </w:r>
      <w:proofErr w:type="spellStart"/>
      <w:r>
        <w:rPr>
          <w:rFonts w:hint="cs"/>
          <w:rtl/>
        </w:rPr>
        <w:t>העונשית</w:t>
      </w:r>
      <w:proofErr w:type="spellEnd"/>
      <w:r>
        <w:rPr>
          <w:rFonts w:hint="cs"/>
          <w:rtl/>
        </w:rPr>
        <w:t xml:space="preserve"> של המערערת כפי שהובאה בבית המשפט קמא בעניינו של המשיב שבפנינו, עמדה על מתחם הנע בין חודש מאסר בפועל לבין 6 חודשי מאסר בפועל, ואף נוכח עמדתה ההגונה בפנינו בערעור דנן, הרי שבעניינו הפרטני של המשיב שבפנינו אנו רואות להעמיד את מתחם העונש ההולם כנע בין חודש מאסר בפועל לבין 6 חודשי מאסר בפועל, זאת בזיקה ותוך התכתבות עם אמירותינו הרוחביות באשר למתחם העונש ההולם כפי שראינו לבאר לעיל. </w:t>
      </w:r>
    </w:p>
    <w:p w:rsidR="00B02F8E" w:rsidRDefault="00B02F8E" w:rsidP="00B02F8E">
      <w:pPr>
        <w:pStyle w:val="ac"/>
        <w:rPr>
          <w:rtl/>
        </w:rPr>
      </w:pPr>
    </w:p>
    <w:p w:rsidR="000E529B" w:rsidRDefault="000E529B" w:rsidP="00B22455">
      <w:pPr>
        <w:pStyle w:val="ac"/>
        <w:numPr>
          <w:ilvl w:val="0"/>
          <w:numId w:val="18"/>
        </w:numPr>
        <w:spacing w:line="360" w:lineRule="auto"/>
        <w:jc w:val="both"/>
      </w:pPr>
      <w:r>
        <w:rPr>
          <w:rFonts w:hint="cs"/>
          <w:rtl/>
        </w:rPr>
        <w:lastRenderedPageBreak/>
        <w:t xml:space="preserve">באשר לקביעת העונש הראוי למשיב בתוך המתחם, הרי שיש לשקלל את מכלול הנסיבות אשר אינן קשורות בביצוע העבירה ובכלל זה נתוני העושה ונסיבותיו האישיות. בכלל זה שמנו ליבנו לעובדה כי מדובר במי שהוא נעדר עבר פלילי, הודה במיוחס לו, חסך זמן שיפוטי יקר, לקח אחריות על המעשים, נכנס לצרכי עבודה, כמו גם </w:t>
      </w:r>
      <w:r w:rsidR="00B22455">
        <w:rPr>
          <w:rFonts w:hint="cs"/>
          <w:rtl/>
        </w:rPr>
        <w:t xml:space="preserve">נסיבותיו האישיות שעה ש </w:t>
      </w:r>
      <w:r w:rsidR="00B22455">
        <w:rPr>
          <w:rtl/>
        </w:rPr>
        <w:t>–</w:t>
      </w:r>
      <w:r w:rsidR="00B22455">
        <w:rPr>
          <w:rFonts w:hint="cs"/>
          <w:rtl/>
        </w:rPr>
        <w:t xml:space="preserve"> 6 ילדים סמוכים על שולחנו ויתר טיעוני באי כוחו בהקשר זה. </w:t>
      </w:r>
    </w:p>
    <w:p w:rsidR="00B02F8E" w:rsidRDefault="00B02F8E" w:rsidP="00B02F8E">
      <w:pPr>
        <w:pStyle w:val="ac"/>
        <w:rPr>
          <w:rtl/>
        </w:rPr>
      </w:pPr>
    </w:p>
    <w:p w:rsidR="00B22455" w:rsidRDefault="00B02F8E" w:rsidP="00C10BE0">
      <w:pPr>
        <w:pStyle w:val="ac"/>
        <w:numPr>
          <w:ilvl w:val="0"/>
          <w:numId w:val="18"/>
        </w:numPr>
        <w:spacing w:line="360" w:lineRule="auto"/>
        <w:jc w:val="both"/>
      </w:pPr>
      <w:r>
        <w:rPr>
          <w:rFonts w:hint="cs"/>
          <w:rtl/>
        </w:rPr>
        <w:t>מ</w:t>
      </w:r>
      <w:r w:rsidR="00B22455">
        <w:rPr>
          <w:rFonts w:hint="cs"/>
          <w:rtl/>
        </w:rPr>
        <w:t xml:space="preserve">סכימות אנו עם באת </w:t>
      </w:r>
      <w:proofErr w:type="spellStart"/>
      <w:r w:rsidR="00B22455">
        <w:rPr>
          <w:rFonts w:hint="cs"/>
          <w:rtl/>
        </w:rPr>
        <w:t>כח</w:t>
      </w:r>
      <w:proofErr w:type="spellEnd"/>
      <w:r w:rsidR="00B22455">
        <w:rPr>
          <w:rFonts w:hint="cs"/>
          <w:rtl/>
        </w:rPr>
        <w:t xml:space="preserve"> המערער</w:t>
      </w:r>
      <w:r w:rsidR="00C10BE0">
        <w:rPr>
          <w:rFonts w:hint="cs"/>
          <w:rtl/>
        </w:rPr>
        <w:t>ת</w:t>
      </w:r>
      <w:r w:rsidR="00B22455">
        <w:rPr>
          <w:rFonts w:hint="cs"/>
          <w:rtl/>
        </w:rPr>
        <w:t xml:space="preserve"> ולפיה</w:t>
      </w:r>
      <w:r w:rsidR="00C10BE0">
        <w:rPr>
          <w:rFonts w:hint="cs"/>
          <w:rtl/>
        </w:rPr>
        <w:t>,</w:t>
      </w:r>
      <w:r w:rsidR="00B22455">
        <w:rPr>
          <w:rFonts w:hint="cs"/>
          <w:rtl/>
        </w:rPr>
        <w:t xml:space="preserve"> יש לשקלל בענישה שתושת גם את שיקולי הרתעת היחיד והרבים, ואולם, בהינתן מכלול הנסיבות של המשיב שבפנינו, הנסיבות שאינן קשורות בביצוע העבירה ושעה שערכאת הערעור אינה ממצה את הדין, אנו רואות להעמיד את עונש המאסר בפועל שהושת על המשיב שיעמוד על 30 </w:t>
      </w:r>
      <w:r w:rsidR="00B22455">
        <w:rPr>
          <w:rFonts w:hint="cs"/>
          <w:rtl/>
        </w:rPr>
        <w:lastRenderedPageBreak/>
        <w:t>ימי מאסר בפועל (תחת 10 ימי מאסר בפועל שהושתו עליו כפי גזר דינו של בית המשפט קמא</w:t>
      </w:r>
      <w:r w:rsidR="00C10BE0">
        <w:rPr>
          <w:rFonts w:hint="cs"/>
          <w:rtl/>
        </w:rPr>
        <w:t>)</w:t>
      </w:r>
      <w:r w:rsidR="00B22455">
        <w:rPr>
          <w:rFonts w:hint="cs"/>
          <w:rtl/>
        </w:rPr>
        <w:t xml:space="preserve"> והכל בניכוי </w:t>
      </w:r>
      <w:r w:rsidR="00C10BE0">
        <w:rPr>
          <w:rFonts w:hint="cs"/>
          <w:rtl/>
        </w:rPr>
        <w:t xml:space="preserve">ימי </w:t>
      </w:r>
      <w:r w:rsidR="00B22455">
        <w:rPr>
          <w:rFonts w:hint="cs"/>
          <w:rtl/>
        </w:rPr>
        <w:t>מעצרו</w:t>
      </w:r>
      <w:r w:rsidR="00C10BE0">
        <w:rPr>
          <w:rFonts w:hint="cs"/>
          <w:rtl/>
        </w:rPr>
        <w:t>.</w:t>
      </w:r>
    </w:p>
    <w:p w:rsidR="00B02F8E" w:rsidRDefault="00B02F8E" w:rsidP="00B02F8E">
      <w:pPr>
        <w:pStyle w:val="ac"/>
        <w:rPr>
          <w:rtl/>
        </w:rPr>
      </w:pPr>
    </w:p>
    <w:p w:rsidR="00B22455" w:rsidRDefault="00B22455" w:rsidP="00C10BE0">
      <w:pPr>
        <w:pStyle w:val="ac"/>
        <w:numPr>
          <w:ilvl w:val="0"/>
          <w:numId w:val="18"/>
        </w:numPr>
        <w:spacing w:line="360" w:lineRule="auto"/>
        <w:jc w:val="both"/>
      </w:pPr>
      <w:r>
        <w:rPr>
          <w:rFonts w:hint="cs"/>
          <w:rtl/>
        </w:rPr>
        <w:t>בהקשר זה נרצה לציין עוד</w:t>
      </w:r>
      <w:r w:rsidR="00C10BE0">
        <w:rPr>
          <w:rFonts w:hint="cs"/>
          <w:rtl/>
        </w:rPr>
        <w:t>,</w:t>
      </w:r>
      <w:r>
        <w:rPr>
          <w:rFonts w:hint="cs"/>
          <w:rtl/>
        </w:rPr>
        <w:t xml:space="preserve"> כי גם בית המשפט קמא היה מודע לשינוי במצב הביטחוני, למלחמה הפוקדת את מקומותינו שעה שראה אף הוא לקבוע מתחם עונש הולם שונה מזה שנקבע בהלכת </w:t>
      </w:r>
      <w:proofErr w:type="spellStart"/>
      <w:r>
        <w:rPr>
          <w:rFonts w:hint="cs"/>
          <w:rtl/>
        </w:rPr>
        <w:t>אלהרוש</w:t>
      </w:r>
      <w:proofErr w:type="spellEnd"/>
      <w:r>
        <w:rPr>
          <w:rFonts w:hint="cs"/>
          <w:rtl/>
        </w:rPr>
        <w:t>, כנע בין ימים ספורים של מאסר בפועל לבין 6 חודשים. יחד עם זאת, לדידנו, החמרה זו בקביעת מתחם העונש ההולם אין בה די באופן המצדיק את התערבותה של ערכאת הערעור. כך גם העני</w:t>
      </w:r>
      <w:r w:rsidR="00C10BE0">
        <w:rPr>
          <w:rFonts w:hint="cs"/>
          <w:rtl/>
        </w:rPr>
        <w:t>ש</w:t>
      </w:r>
      <w:r>
        <w:rPr>
          <w:rFonts w:hint="cs"/>
          <w:rtl/>
        </w:rPr>
        <w:t xml:space="preserve">ה אשר הושתה סופו של יום על המשיב דנן שגויה היא במובן זה שיש הצדקה להתערבותנו כפי שביארנו לעיל. </w:t>
      </w:r>
    </w:p>
    <w:p w:rsidR="00B02F8E" w:rsidRDefault="00B02F8E" w:rsidP="00B02F8E">
      <w:pPr>
        <w:pStyle w:val="ac"/>
        <w:rPr>
          <w:rtl/>
        </w:rPr>
      </w:pPr>
    </w:p>
    <w:p w:rsidR="00B22455" w:rsidRDefault="00B22455" w:rsidP="00B22455">
      <w:pPr>
        <w:pStyle w:val="ac"/>
        <w:numPr>
          <w:ilvl w:val="0"/>
          <w:numId w:val="18"/>
        </w:numPr>
        <w:spacing w:line="360" w:lineRule="auto"/>
        <w:jc w:val="both"/>
      </w:pPr>
      <w:r>
        <w:rPr>
          <w:rFonts w:hint="cs"/>
          <w:rtl/>
        </w:rPr>
        <w:lastRenderedPageBreak/>
        <w:t>במסגרת הודעת הערעור, עתרה המערערת גם לחייב את המשיב בתשלום קנס. בהקשר זה טענה בהודעת הערעור כי חלק מרכיבי הענישה הנלו</w:t>
      </w:r>
      <w:r w:rsidR="00C10BE0">
        <w:rPr>
          <w:rFonts w:hint="cs"/>
          <w:rtl/>
        </w:rPr>
        <w:t>ו</w:t>
      </w:r>
      <w:r>
        <w:rPr>
          <w:rFonts w:hint="cs"/>
          <w:rtl/>
        </w:rPr>
        <w:t xml:space="preserve">ים בעבירות כגון דא, ראוי להם כי יכללו אף מאסר מותנה כפי שהושת על ידי בית המשפט קמא וכן חיוב בתשלום קנס. </w:t>
      </w:r>
    </w:p>
    <w:p w:rsidR="00B02F8E" w:rsidRDefault="00B02F8E" w:rsidP="00B02F8E">
      <w:pPr>
        <w:pStyle w:val="ac"/>
        <w:rPr>
          <w:rtl/>
        </w:rPr>
      </w:pPr>
    </w:p>
    <w:p w:rsidR="00B22455" w:rsidRDefault="00B22455" w:rsidP="00B22455">
      <w:pPr>
        <w:pStyle w:val="ac"/>
        <w:numPr>
          <w:ilvl w:val="0"/>
          <w:numId w:val="18"/>
        </w:numPr>
        <w:spacing w:line="360" w:lineRule="auto"/>
        <w:jc w:val="both"/>
      </w:pPr>
      <w:r>
        <w:rPr>
          <w:rFonts w:hint="cs"/>
          <w:rtl/>
        </w:rPr>
        <w:t>אנו סבורות</w:t>
      </w:r>
      <w:r w:rsidR="00B02F8E">
        <w:rPr>
          <w:rFonts w:hint="cs"/>
          <w:rtl/>
        </w:rPr>
        <w:t>,</w:t>
      </w:r>
      <w:r>
        <w:rPr>
          <w:rFonts w:hint="cs"/>
          <w:rtl/>
        </w:rPr>
        <w:t xml:space="preserve"> כי על דרך הכלל יש לשקול במקרים הראויים והמתאימים לחייב גם בתשלום קנס בעבירות כגון דא, תוך בחינת כל מקרה לנסיבותיו. יחד עם זאת, בהינתן מכלול הנסיבות שהובאו בפנינו ושעה שערכאת הערעור, כאמור, אינה ממצה את הדין, אנו רואות להימנע מלחייב את המשיב במקרה דנן בתשלום קנס כלשהו. </w:t>
      </w:r>
    </w:p>
    <w:p w:rsidR="00B02F8E" w:rsidRDefault="00B02F8E" w:rsidP="00B02F8E">
      <w:pPr>
        <w:pStyle w:val="ac"/>
        <w:rPr>
          <w:rtl/>
        </w:rPr>
      </w:pPr>
    </w:p>
    <w:p w:rsidR="00B22455" w:rsidRDefault="00B22455" w:rsidP="00B02F8E">
      <w:pPr>
        <w:pStyle w:val="ac"/>
        <w:numPr>
          <w:ilvl w:val="0"/>
          <w:numId w:val="18"/>
        </w:numPr>
        <w:spacing w:line="360" w:lineRule="auto"/>
        <w:jc w:val="both"/>
        <w:rPr>
          <w:b/>
          <w:bCs/>
        </w:rPr>
      </w:pPr>
      <w:r w:rsidRPr="00B02F8E">
        <w:rPr>
          <w:rFonts w:hint="cs"/>
          <w:b/>
          <w:bCs/>
          <w:rtl/>
        </w:rPr>
        <w:t xml:space="preserve">סופו של יום, נוכח כל האמור לעיל, הערעור מתקבל במובן זה שעונש המאסר בפועל שהושת על המשיב יוחמר ויעמוד על 30 ימים בניכוי ימי מעצרו. יתר רכיבי </w:t>
      </w:r>
      <w:r w:rsidRPr="00B02F8E">
        <w:rPr>
          <w:rFonts w:hint="cs"/>
          <w:b/>
          <w:bCs/>
          <w:rtl/>
        </w:rPr>
        <w:lastRenderedPageBreak/>
        <w:t xml:space="preserve">הענישה שהושתו עליו כפי גזר דינו של בית המשפט קמא, היינו מאסר מותנה וחיובו </w:t>
      </w:r>
      <w:r w:rsidR="00B02F8E">
        <w:rPr>
          <w:rFonts w:hint="cs"/>
          <w:b/>
          <w:bCs/>
          <w:rtl/>
        </w:rPr>
        <w:t>ב</w:t>
      </w:r>
      <w:r w:rsidRPr="00B02F8E">
        <w:rPr>
          <w:rFonts w:hint="cs"/>
          <w:b/>
          <w:bCs/>
          <w:rtl/>
        </w:rPr>
        <w:t xml:space="preserve">חתימה על התחייבות כספית, ייוותרו על כנם. </w:t>
      </w:r>
    </w:p>
    <w:p w:rsidR="00B02F8E" w:rsidRDefault="00B02F8E" w:rsidP="00B02F8E">
      <w:pPr>
        <w:pStyle w:val="ac"/>
        <w:spacing w:line="360" w:lineRule="auto"/>
        <w:ind w:left="510"/>
        <w:jc w:val="both"/>
        <w:rPr>
          <w:b/>
          <w:bCs/>
          <w:rtl/>
        </w:rPr>
      </w:pPr>
    </w:p>
    <w:p w:rsidR="00B02F8E" w:rsidRDefault="00B02F8E" w:rsidP="00B02F8E">
      <w:pPr>
        <w:pStyle w:val="ac"/>
        <w:spacing w:line="360" w:lineRule="auto"/>
        <w:ind w:left="510"/>
        <w:jc w:val="both"/>
        <w:rPr>
          <w:b/>
          <w:bCs/>
          <w:sz w:val="6"/>
          <w:szCs w:val="6"/>
          <w:rtl/>
        </w:rPr>
      </w:pPr>
      <w:r>
        <w:rPr>
          <w:b/>
          <w:bCs/>
          <w:sz w:val="6"/>
          <w:szCs w:val="6"/>
          <w:rtl/>
        </w:rPr>
        <w:t>&lt;#3#&gt;</w:t>
      </w:r>
    </w:p>
    <w:p w:rsidR="00B02F8E" w:rsidRPr="004C6756" w:rsidRDefault="00B02F8E">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י' חשוון תשפ"ד</w:t>
          </w:r>
        </w:sdtContent>
      </w:sdt>
      <w:r w:rsidRPr="004C6756">
        <w:rPr>
          <w:rFonts w:hint="cs"/>
          <w:b/>
          <w:bCs/>
          <w:rtl/>
        </w:rPr>
        <w:t xml:space="preserve">, </w:t>
      </w:r>
      <w:sdt>
        <w:sdtPr>
          <w:rPr>
            <w:rtl/>
          </w:rPr>
          <w:alias w:val="2206"/>
          <w:tag w:val="2206"/>
          <w:id w:val="-881791114"/>
        </w:sdtPr>
        <w:sdtEndPr/>
        <w:sdtContent>
          <w:r>
            <w:rPr>
              <w:b/>
              <w:bCs/>
            </w:rPr>
            <w:t>25/10/2023</w:t>
          </w:r>
        </w:sdtContent>
      </w:sdt>
      <w:r w:rsidRPr="004C6756">
        <w:rPr>
          <w:rFonts w:hint="cs"/>
          <w:b/>
          <w:bCs/>
          <w:rtl/>
        </w:rPr>
        <w:t xml:space="preserve"> במעמד הנוכחים. </w:t>
      </w:r>
    </w:p>
    <w:tbl>
      <w:tblPr>
        <w:tblStyle w:val="a5"/>
        <w:bidiVisual/>
        <w:tblW w:w="8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83"/>
        <w:gridCol w:w="316"/>
        <w:gridCol w:w="2698"/>
        <w:gridCol w:w="305"/>
        <w:gridCol w:w="2634"/>
      </w:tblGrid>
      <w:tr w:rsidR="00D20C3E" w:rsidTr="00D20C3E">
        <w:trPr>
          <w:trHeight w:val="743"/>
        </w:trPr>
        <w:tc>
          <w:tcPr>
            <w:tcW w:w="2583" w:type="dxa"/>
            <w:tcBorders>
              <w:top w:val="nil"/>
              <w:left w:val="nil"/>
              <w:bottom w:val="single" w:sz="4" w:space="0" w:color="auto"/>
              <w:right w:val="nil"/>
            </w:tcBorders>
            <w:vAlign w:val="bottom"/>
            <w:hideMark/>
          </w:tcPr>
          <w:p w:rsidR="00D20C3E" w:rsidRDefault="00D20C3E">
            <w:pPr>
              <w:jc w:val="center"/>
              <w:rPr>
                <w:rFonts w:ascii="David" w:hAnsi="David" w:cs="David"/>
                <w:b/>
                <w:bCs/>
                <w:rtl/>
              </w:rPr>
            </w:pPr>
          </w:p>
          <w:p w:rsidR="00D20C3E" w:rsidRDefault="00D20C3E">
            <w:pPr>
              <w:jc w:val="center"/>
              <w:rPr>
                <w:rFonts w:ascii="David" w:hAnsi="David" w:cs="David"/>
                <w:b/>
                <w:bCs/>
                <w:rtl/>
              </w:rPr>
            </w:pPr>
            <w:r>
              <w:rPr>
                <w:noProof/>
              </w:rPr>
              <w:drawing>
                <wp:inline distT="0" distB="0" distL="0" distR="0">
                  <wp:extent cx="1426210" cy="429895"/>
                  <wp:effectExtent l="0" t="0" r="2540" b="8255"/>
                  <wp:docPr id="7" name="תמונה 7" descr="024300998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descr="024300998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6210" cy="429895"/>
                          </a:xfrm>
                          <a:prstGeom prst="rect">
                            <a:avLst/>
                          </a:prstGeom>
                          <a:noFill/>
                          <a:ln>
                            <a:noFill/>
                          </a:ln>
                        </pic:spPr>
                      </pic:pic>
                    </a:graphicData>
                  </a:graphic>
                </wp:inline>
              </w:drawing>
            </w:r>
          </w:p>
        </w:tc>
        <w:tc>
          <w:tcPr>
            <w:tcW w:w="316" w:type="dxa"/>
            <w:vAlign w:val="bottom"/>
          </w:tcPr>
          <w:p w:rsidR="00D20C3E" w:rsidRDefault="00D20C3E">
            <w:pPr>
              <w:jc w:val="center"/>
              <w:rPr>
                <w:rFonts w:ascii="David" w:hAnsi="David" w:cs="David"/>
                <w:b/>
                <w:bCs/>
              </w:rPr>
            </w:pPr>
          </w:p>
        </w:tc>
        <w:tc>
          <w:tcPr>
            <w:tcW w:w="2698" w:type="dxa"/>
            <w:tcBorders>
              <w:top w:val="nil"/>
              <w:left w:val="nil"/>
              <w:bottom w:val="single" w:sz="4" w:space="0" w:color="auto"/>
              <w:right w:val="nil"/>
            </w:tcBorders>
            <w:vAlign w:val="bottom"/>
            <w:hideMark/>
          </w:tcPr>
          <w:p w:rsidR="00D20C3E" w:rsidRDefault="00D20C3E">
            <w:pPr>
              <w:jc w:val="center"/>
              <w:rPr>
                <w:rFonts w:ascii="David" w:hAnsi="David" w:cs="David"/>
                <w:b/>
                <w:bCs/>
              </w:rPr>
            </w:pPr>
            <w:r>
              <w:rPr>
                <w:noProof/>
              </w:rPr>
              <w:drawing>
                <wp:inline distT="0" distB="0" distL="0" distR="0">
                  <wp:extent cx="1460500" cy="416560"/>
                  <wp:effectExtent l="0" t="0" r="6350" b="254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416560"/>
                          </a:xfrm>
                          <a:prstGeom prst="rect">
                            <a:avLst/>
                          </a:prstGeom>
                          <a:noFill/>
                          <a:ln>
                            <a:noFill/>
                          </a:ln>
                        </pic:spPr>
                      </pic:pic>
                    </a:graphicData>
                  </a:graphic>
                </wp:inline>
              </w:drawing>
            </w:r>
          </w:p>
        </w:tc>
        <w:tc>
          <w:tcPr>
            <w:tcW w:w="305" w:type="dxa"/>
            <w:vAlign w:val="bottom"/>
          </w:tcPr>
          <w:p w:rsidR="00D20C3E" w:rsidRDefault="00D20C3E">
            <w:pPr>
              <w:jc w:val="center"/>
              <w:rPr>
                <w:rFonts w:ascii="David" w:hAnsi="David" w:cs="David"/>
                <w:b/>
                <w:bCs/>
              </w:rPr>
            </w:pPr>
          </w:p>
        </w:tc>
        <w:tc>
          <w:tcPr>
            <w:tcW w:w="2634" w:type="dxa"/>
            <w:tcBorders>
              <w:top w:val="nil"/>
              <w:left w:val="nil"/>
              <w:bottom w:val="single" w:sz="4" w:space="0" w:color="auto"/>
              <w:right w:val="nil"/>
            </w:tcBorders>
            <w:vAlign w:val="bottom"/>
            <w:hideMark/>
          </w:tcPr>
          <w:p w:rsidR="00D20C3E" w:rsidRDefault="00D20C3E">
            <w:pPr>
              <w:jc w:val="center"/>
              <w:rPr>
                <w:rFonts w:ascii="David" w:hAnsi="David" w:cs="David"/>
                <w:b/>
                <w:bCs/>
                <w:rtl/>
              </w:rPr>
            </w:pPr>
            <w:r>
              <w:rPr>
                <w:noProof/>
              </w:rPr>
              <w:drawing>
                <wp:inline distT="0" distB="0" distL="0" distR="0">
                  <wp:extent cx="1105535" cy="552450"/>
                  <wp:effectExtent l="0" t="0" r="0" b="0"/>
                  <wp:docPr id="5" name="תמונה 5" descr="cid:image001.png@01D89AB6.F1168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descr="cid:image001.png@01D89AB6.F11685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5535" cy="552450"/>
                          </a:xfrm>
                          <a:prstGeom prst="rect">
                            <a:avLst/>
                          </a:prstGeom>
                          <a:noFill/>
                          <a:ln>
                            <a:noFill/>
                          </a:ln>
                        </pic:spPr>
                      </pic:pic>
                    </a:graphicData>
                  </a:graphic>
                </wp:inline>
              </w:drawing>
            </w:r>
          </w:p>
        </w:tc>
      </w:tr>
      <w:tr w:rsidR="00D20C3E" w:rsidTr="00D20C3E">
        <w:trPr>
          <w:trHeight w:val="56"/>
        </w:trPr>
        <w:tc>
          <w:tcPr>
            <w:tcW w:w="2583" w:type="dxa"/>
            <w:tcBorders>
              <w:top w:val="single" w:sz="4" w:space="0" w:color="auto"/>
              <w:left w:val="nil"/>
              <w:bottom w:val="nil"/>
              <w:right w:val="nil"/>
            </w:tcBorders>
            <w:hideMark/>
          </w:tcPr>
          <w:p w:rsidR="00D20C3E" w:rsidRDefault="00D20C3E">
            <w:pPr>
              <w:jc w:val="center"/>
              <w:rPr>
                <w:rFonts w:ascii="David" w:hAnsi="David" w:cs="David"/>
                <w:b/>
                <w:bCs/>
                <w:rtl/>
              </w:rPr>
            </w:pPr>
            <w:r>
              <w:rPr>
                <w:rFonts w:ascii="David" w:hAnsi="David" w:cs="David" w:hint="cs"/>
                <w:b/>
                <w:bCs/>
                <w:rtl/>
              </w:rPr>
              <w:t>יפעת שטרית, שופטת</w:t>
            </w:r>
          </w:p>
        </w:tc>
        <w:tc>
          <w:tcPr>
            <w:tcW w:w="316" w:type="dxa"/>
            <w:vAlign w:val="bottom"/>
          </w:tcPr>
          <w:p w:rsidR="00D20C3E" w:rsidRDefault="00D20C3E">
            <w:pPr>
              <w:jc w:val="center"/>
              <w:rPr>
                <w:rFonts w:ascii="David" w:hAnsi="David" w:cs="David"/>
                <w:b/>
                <w:bCs/>
              </w:rPr>
            </w:pPr>
          </w:p>
        </w:tc>
        <w:tc>
          <w:tcPr>
            <w:tcW w:w="2698" w:type="dxa"/>
            <w:tcBorders>
              <w:top w:val="single" w:sz="4" w:space="0" w:color="auto"/>
              <w:left w:val="nil"/>
              <w:bottom w:val="nil"/>
              <w:right w:val="nil"/>
            </w:tcBorders>
            <w:hideMark/>
          </w:tcPr>
          <w:p w:rsidR="00D20C3E" w:rsidRDefault="00D20C3E">
            <w:pPr>
              <w:jc w:val="center"/>
              <w:rPr>
                <w:rFonts w:ascii="David" w:hAnsi="David" w:cs="David"/>
                <w:b/>
                <w:bCs/>
              </w:rPr>
            </w:pPr>
            <w:r>
              <w:rPr>
                <w:rFonts w:ascii="David" w:hAnsi="David" w:cs="David" w:hint="cs"/>
                <w:b/>
                <w:bCs/>
                <w:rtl/>
              </w:rPr>
              <w:t>תמר נסים שי, שופטת</w:t>
            </w:r>
          </w:p>
        </w:tc>
        <w:tc>
          <w:tcPr>
            <w:tcW w:w="305" w:type="dxa"/>
          </w:tcPr>
          <w:p w:rsidR="00D20C3E" w:rsidRDefault="00D20C3E">
            <w:pPr>
              <w:jc w:val="center"/>
              <w:rPr>
                <w:rFonts w:ascii="David" w:hAnsi="David" w:cs="David"/>
                <w:b/>
                <w:bCs/>
                <w:rtl/>
              </w:rPr>
            </w:pPr>
          </w:p>
        </w:tc>
        <w:tc>
          <w:tcPr>
            <w:tcW w:w="2634" w:type="dxa"/>
            <w:tcBorders>
              <w:top w:val="single" w:sz="4" w:space="0" w:color="auto"/>
              <w:left w:val="nil"/>
              <w:bottom w:val="nil"/>
              <w:right w:val="nil"/>
            </w:tcBorders>
            <w:hideMark/>
          </w:tcPr>
          <w:p w:rsidR="00D20C3E" w:rsidRDefault="00D20C3E">
            <w:pPr>
              <w:jc w:val="center"/>
              <w:rPr>
                <w:rFonts w:ascii="David" w:hAnsi="David" w:cs="David"/>
                <w:b/>
                <w:bCs/>
                <w:rtl/>
              </w:rPr>
            </w:pPr>
            <w:proofErr w:type="spellStart"/>
            <w:r>
              <w:rPr>
                <w:rFonts w:ascii="David" w:hAnsi="David" w:cs="David" w:hint="cs"/>
                <w:b/>
                <w:bCs/>
                <w:rtl/>
              </w:rPr>
              <w:t>אוסילה</w:t>
            </w:r>
            <w:proofErr w:type="spellEnd"/>
            <w:r>
              <w:rPr>
                <w:rFonts w:ascii="David" w:hAnsi="David" w:cs="David" w:hint="cs"/>
                <w:b/>
                <w:bCs/>
                <w:rtl/>
              </w:rPr>
              <w:t xml:space="preserve"> אבו-אסעד, שופטת</w:t>
            </w:r>
          </w:p>
        </w:tc>
      </w:tr>
    </w:tbl>
    <w:p w:rsidR="00B02F8E" w:rsidRDefault="00B02F8E" w:rsidP="00B02F8E">
      <w:pPr>
        <w:pStyle w:val="ac"/>
        <w:spacing w:line="360" w:lineRule="auto"/>
        <w:ind w:left="510"/>
        <w:jc w:val="center"/>
        <w:rPr>
          <w:rtl/>
        </w:rPr>
      </w:pPr>
    </w:p>
    <w:p w:rsidR="00D20C3E" w:rsidRDefault="00D20C3E" w:rsidP="00D20C3E">
      <w:pPr>
        <w:spacing w:line="360" w:lineRule="auto"/>
        <w:jc w:val="both"/>
        <w:rPr>
          <w:b/>
          <w:bCs/>
          <w:sz w:val="20"/>
          <w:szCs w:val="20"/>
          <w:rtl/>
        </w:rPr>
      </w:pPr>
    </w:p>
    <w:p w:rsidR="001F6BB2" w:rsidRDefault="001F6BB2"/>
    <w:sectPr w:rsidR="001F6BB2" w:rsidSect="00A23A72">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93B" w:rsidRDefault="0083393B">
      <w:r>
        <w:separator/>
      </w:r>
    </w:p>
  </w:endnote>
  <w:endnote w:type="continuationSeparator" w:id="0">
    <w:p w:rsidR="0083393B" w:rsidRDefault="0083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C80" w:rsidRDefault="00F17C80" w:rsidP="00A23A7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A23A72">
      <w:rPr>
        <w:rStyle w:val="a9"/>
        <w:noProof/>
        <w:rtl/>
      </w:rPr>
      <w:t>1</w:t>
    </w:r>
    <w:r>
      <w:rPr>
        <w:rStyle w:val="a9"/>
        <w:rtl/>
      </w:rPr>
      <w:fldChar w:fldCharType="end"/>
    </w:r>
  </w:p>
  <w:p w:rsidR="00F17C80" w:rsidRDefault="00F17C8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C80" w:rsidRDefault="00F17C80" w:rsidP="00A23A7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F918E8">
      <w:rPr>
        <w:rStyle w:val="a9"/>
        <w:noProof/>
        <w:rtl/>
      </w:rPr>
      <w:t>1</w:t>
    </w:r>
    <w:r>
      <w:rPr>
        <w:rStyle w:val="a9"/>
        <w:rtl/>
      </w:rPr>
      <w:fldChar w:fldCharType="end"/>
    </w:r>
  </w:p>
  <w:p w:rsidR="00F17C80" w:rsidRDefault="00F17C80">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8E8" w:rsidRDefault="00F918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93B" w:rsidRDefault="0083393B">
      <w:r>
        <w:separator/>
      </w:r>
    </w:p>
  </w:footnote>
  <w:footnote w:type="continuationSeparator" w:id="0">
    <w:p w:rsidR="0083393B" w:rsidRDefault="0083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8E8" w:rsidRDefault="00F918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9"/>
      <w:gridCol w:w="235"/>
      <w:gridCol w:w="2050"/>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בנצרת בשבתו כבית-משפט לערעורים פליליים</w:t>
              </w:r>
            </w:p>
          </w:tc>
        </w:sdtContent>
      </w:sdt>
    </w:tr>
    <w:tr w:rsidR="00EB1D9D" w:rsidTr="00A04531">
      <w:trPr>
        <w:trHeight w:val="337"/>
        <w:jc w:val="center"/>
      </w:trPr>
      <w:tc>
        <w:tcPr>
          <w:tcW w:w="6396" w:type="dxa"/>
        </w:tcPr>
        <w:p w:rsidR="00EB1D9D" w:rsidRDefault="00F918E8">
          <w:pPr>
            <w:rPr>
              <w:b/>
              <w:bCs/>
              <w:sz w:val="26"/>
              <w:szCs w:val="26"/>
              <w:rtl/>
            </w:rPr>
          </w:pPr>
          <w:sdt>
            <w:sdtPr>
              <w:rPr>
                <w:rtl/>
              </w:rPr>
              <w:alias w:val="849"/>
              <w:tag w:val="849"/>
              <w:id w:val="-1617746001"/>
              <w:text w:multiLine="1"/>
            </w:sdtPr>
            <w:sdtEndPr/>
            <w:sdtContent>
              <w:proofErr w:type="spellStart"/>
              <w:r w:rsidR="009D5250">
                <w:rPr>
                  <w:b/>
                  <w:bCs/>
                  <w:sz w:val="26"/>
                  <w:szCs w:val="26"/>
                  <w:rtl/>
                </w:rPr>
                <w:t>עפ"ג</w:t>
              </w:r>
              <w:proofErr w:type="spellEnd"/>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9D5250">
                <w:rPr>
                  <w:b/>
                  <w:bCs/>
                  <w:sz w:val="26"/>
                  <w:szCs w:val="26"/>
                  <w:rtl/>
                </w:rPr>
                <w:t>37018-10-23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9D5250">
                <w:rPr>
                  <w:b/>
                  <w:bCs/>
                  <w:sz w:val="26"/>
                  <w:szCs w:val="26"/>
                  <w:rtl/>
                </w:rPr>
                <w:t xml:space="preserve">מדינת ישראל נ' </w:t>
              </w:r>
              <w:proofErr w:type="spellStart"/>
              <w:r w:rsidR="009D5250">
                <w:rPr>
                  <w:b/>
                  <w:bCs/>
                  <w:sz w:val="26"/>
                  <w:szCs w:val="26"/>
                  <w:rtl/>
                </w:rPr>
                <w:t>אלחרוב</w:t>
              </w:r>
              <w:proofErr w:type="spellEnd"/>
              <w:r w:rsidR="009D5250">
                <w:rPr>
                  <w:b/>
                  <w:bCs/>
                  <w:sz w:val="26"/>
                  <w:szCs w:val="26"/>
                  <w:rtl/>
                </w:rPr>
                <w:t>(עציר)</w:t>
              </w:r>
            </w:sdtContent>
          </w:sdt>
        </w:p>
        <w:p w:rsidR="00A962A1" w:rsidRDefault="00A962A1">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25 אוקטובר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8E8" w:rsidRDefault="00F918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BC0ED9"/>
    <w:multiLevelType w:val="hybridMultilevel"/>
    <w:tmpl w:val="74B0F120"/>
    <w:lvl w:ilvl="0" w:tplc="61C08A42">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saveInvalidXml/>
  <w:ignoreMixedContent/>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7018-10-23"/>
    <w:docVar w:name="caseId" w:val="80689940"/>
    <w:docVar w:name="deriveClass" w:val="NGCS.Protocol.BL.Client.ProtocolBLClientCriminal"/>
    <w:docVar w:name="firstPageNumber" w:val="1"/>
    <w:docVar w:name="NGCS.caseTypeID" w:val="-1"/>
    <w:docVar w:name="NGCS.courtID" w:val="-1"/>
    <w:docVar w:name="NGCS.isReservedAddressPlace" w:val="0"/>
    <w:docVar w:name="NGCS.isReservedVoucherPlace" w:val="0"/>
    <w:docVar w:name="NGCS.proceedingID" w:val="17"/>
    <w:docVar w:name="NGCS.TemplateCategoryID" w:val="14"/>
    <w:docVar w:name="NGCS.userUPN" w:val="כולם"/>
    <w:docVar w:name="privellegeId" w:val="1"/>
    <w:docVar w:name="protocolId" w:val="13930106"/>
    <w:docVar w:name="releaseSign" w:val="0"/>
    <w:docVar w:name="sittingDateTime" w:val="25/10/2023 11:30     "/>
    <w:docVar w:name="sittingId" w:val="96078602"/>
    <w:docVar w:name="sittingTypeId" w:val="-1"/>
    <w:docVar w:name="WordClientAssemblyName" w:val="NGCS.Protocol.BL.Client"/>
    <w:docVar w:name="WordClientClassName" w:val="NGCS.Templates.UIP.TemplateWordClient"/>
  </w:docVars>
  <w:rsids>
    <w:rsidRoot w:val="00EB1D9D"/>
    <w:rsid w:val="0000736A"/>
    <w:rsid w:val="00014F26"/>
    <w:rsid w:val="00016C3B"/>
    <w:rsid w:val="00025979"/>
    <w:rsid w:val="00030486"/>
    <w:rsid w:val="000309E2"/>
    <w:rsid w:val="00032A68"/>
    <w:rsid w:val="00053909"/>
    <w:rsid w:val="000555F0"/>
    <w:rsid w:val="000605AB"/>
    <w:rsid w:val="000608AB"/>
    <w:rsid w:val="00074BD2"/>
    <w:rsid w:val="000830A5"/>
    <w:rsid w:val="00083B5A"/>
    <w:rsid w:val="000A4C4B"/>
    <w:rsid w:val="000C0BAD"/>
    <w:rsid w:val="000C3D5F"/>
    <w:rsid w:val="000C7499"/>
    <w:rsid w:val="000E37CD"/>
    <w:rsid w:val="000E529B"/>
    <w:rsid w:val="00100FD9"/>
    <w:rsid w:val="00115104"/>
    <w:rsid w:val="00131385"/>
    <w:rsid w:val="001355DC"/>
    <w:rsid w:val="0014434E"/>
    <w:rsid w:val="001526FC"/>
    <w:rsid w:val="0016231B"/>
    <w:rsid w:val="00163279"/>
    <w:rsid w:val="001666D0"/>
    <w:rsid w:val="001705B8"/>
    <w:rsid w:val="00174C6C"/>
    <w:rsid w:val="00180246"/>
    <w:rsid w:val="00185389"/>
    <w:rsid w:val="001A63A4"/>
    <w:rsid w:val="001C6332"/>
    <w:rsid w:val="001E6DFB"/>
    <w:rsid w:val="001F6BB2"/>
    <w:rsid w:val="002063A6"/>
    <w:rsid w:val="00227A15"/>
    <w:rsid w:val="00237F64"/>
    <w:rsid w:val="00245547"/>
    <w:rsid w:val="00252B67"/>
    <w:rsid w:val="002736EA"/>
    <w:rsid w:val="00296868"/>
    <w:rsid w:val="002A1C94"/>
    <w:rsid w:val="002B7164"/>
    <w:rsid w:val="002D0262"/>
    <w:rsid w:val="002E24EE"/>
    <w:rsid w:val="002F455E"/>
    <w:rsid w:val="002F5A82"/>
    <w:rsid w:val="00301481"/>
    <w:rsid w:val="0034100C"/>
    <w:rsid w:val="00342D84"/>
    <w:rsid w:val="00347ACF"/>
    <w:rsid w:val="003B3976"/>
    <w:rsid w:val="003B789B"/>
    <w:rsid w:val="003F6EFC"/>
    <w:rsid w:val="00440118"/>
    <w:rsid w:val="00442655"/>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32BA"/>
    <w:rsid w:val="00594F89"/>
    <w:rsid w:val="005B395D"/>
    <w:rsid w:val="005C4A8F"/>
    <w:rsid w:val="005D47FD"/>
    <w:rsid w:val="005D68B0"/>
    <w:rsid w:val="005D6FD9"/>
    <w:rsid w:val="00600219"/>
    <w:rsid w:val="006110FD"/>
    <w:rsid w:val="0061652F"/>
    <w:rsid w:val="00620E3F"/>
    <w:rsid w:val="00623CCF"/>
    <w:rsid w:val="00631222"/>
    <w:rsid w:val="006322A8"/>
    <w:rsid w:val="00633BA9"/>
    <w:rsid w:val="00635C8E"/>
    <w:rsid w:val="006424C7"/>
    <w:rsid w:val="00675167"/>
    <w:rsid w:val="006830E7"/>
    <w:rsid w:val="006A4D3D"/>
    <w:rsid w:val="006B639D"/>
    <w:rsid w:val="006C188D"/>
    <w:rsid w:val="006D72D1"/>
    <w:rsid w:val="006E3A90"/>
    <w:rsid w:val="006F0E02"/>
    <w:rsid w:val="006F42DD"/>
    <w:rsid w:val="00700409"/>
    <w:rsid w:val="00701199"/>
    <w:rsid w:val="007378AE"/>
    <w:rsid w:val="007378FE"/>
    <w:rsid w:val="007400C4"/>
    <w:rsid w:val="00770F7C"/>
    <w:rsid w:val="00781736"/>
    <w:rsid w:val="00791EB6"/>
    <w:rsid w:val="007A16D0"/>
    <w:rsid w:val="007B4707"/>
    <w:rsid w:val="007B6499"/>
    <w:rsid w:val="007C0D02"/>
    <w:rsid w:val="007D4DDF"/>
    <w:rsid w:val="007D71BF"/>
    <w:rsid w:val="007E4ADE"/>
    <w:rsid w:val="007F46CA"/>
    <w:rsid w:val="007F4959"/>
    <w:rsid w:val="008100EF"/>
    <w:rsid w:val="0081212E"/>
    <w:rsid w:val="008138D1"/>
    <w:rsid w:val="008147C4"/>
    <w:rsid w:val="00816980"/>
    <w:rsid w:val="0083393B"/>
    <w:rsid w:val="0083639D"/>
    <w:rsid w:val="0085535F"/>
    <w:rsid w:val="00866582"/>
    <w:rsid w:val="0088228B"/>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5250"/>
    <w:rsid w:val="009D7934"/>
    <w:rsid w:val="009E46EC"/>
    <w:rsid w:val="009E6E0A"/>
    <w:rsid w:val="00A04531"/>
    <w:rsid w:val="00A144DC"/>
    <w:rsid w:val="00A1573A"/>
    <w:rsid w:val="00A23A72"/>
    <w:rsid w:val="00A25356"/>
    <w:rsid w:val="00A64302"/>
    <w:rsid w:val="00A64696"/>
    <w:rsid w:val="00A67D1A"/>
    <w:rsid w:val="00A737C5"/>
    <w:rsid w:val="00A910BF"/>
    <w:rsid w:val="00A9385E"/>
    <w:rsid w:val="00A962A1"/>
    <w:rsid w:val="00AA3C0A"/>
    <w:rsid w:val="00AB1CE7"/>
    <w:rsid w:val="00AC7677"/>
    <w:rsid w:val="00AD1366"/>
    <w:rsid w:val="00AE3780"/>
    <w:rsid w:val="00B02F8E"/>
    <w:rsid w:val="00B13FC0"/>
    <w:rsid w:val="00B22455"/>
    <w:rsid w:val="00B24CA7"/>
    <w:rsid w:val="00B30584"/>
    <w:rsid w:val="00B3525F"/>
    <w:rsid w:val="00B44123"/>
    <w:rsid w:val="00B54D17"/>
    <w:rsid w:val="00B6568E"/>
    <w:rsid w:val="00B66459"/>
    <w:rsid w:val="00B82C03"/>
    <w:rsid w:val="00BA3141"/>
    <w:rsid w:val="00BD13A0"/>
    <w:rsid w:val="00BF00B0"/>
    <w:rsid w:val="00C10643"/>
    <w:rsid w:val="00C10BE0"/>
    <w:rsid w:val="00C4595F"/>
    <w:rsid w:val="00C471D1"/>
    <w:rsid w:val="00C50277"/>
    <w:rsid w:val="00C518EA"/>
    <w:rsid w:val="00C55C3B"/>
    <w:rsid w:val="00C667A1"/>
    <w:rsid w:val="00C81989"/>
    <w:rsid w:val="00C8613B"/>
    <w:rsid w:val="00CA022A"/>
    <w:rsid w:val="00CA26CF"/>
    <w:rsid w:val="00CB2145"/>
    <w:rsid w:val="00CB6B34"/>
    <w:rsid w:val="00CF3B34"/>
    <w:rsid w:val="00D0615F"/>
    <w:rsid w:val="00D20C3E"/>
    <w:rsid w:val="00D23D09"/>
    <w:rsid w:val="00D2736A"/>
    <w:rsid w:val="00D57D9B"/>
    <w:rsid w:val="00D86190"/>
    <w:rsid w:val="00D96DBA"/>
    <w:rsid w:val="00DA32F1"/>
    <w:rsid w:val="00DA7A07"/>
    <w:rsid w:val="00DC3CD8"/>
    <w:rsid w:val="00DC4526"/>
    <w:rsid w:val="00DC7E11"/>
    <w:rsid w:val="00DD4926"/>
    <w:rsid w:val="00DF69AA"/>
    <w:rsid w:val="00E15F20"/>
    <w:rsid w:val="00E37759"/>
    <w:rsid w:val="00E4581A"/>
    <w:rsid w:val="00E60B59"/>
    <w:rsid w:val="00E620AB"/>
    <w:rsid w:val="00E679BB"/>
    <w:rsid w:val="00E80639"/>
    <w:rsid w:val="00E866B5"/>
    <w:rsid w:val="00EA333A"/>
    <w:rsid w:val="00EB1D9D"/>
    <w:rsid w:val="00EE0211"/>
    <w:rsid w:val="00F17C80"/>
    <w:rsid w:val="00F24B4E"/>
    <w:rsid w:val="00F30675"/>
    <w:rsid w:val="00F44795"/>
    <w:rsid w:val="00F449AC"/>
    <w:rsid w:val="00F4653A"/>
    <w:rsid w:val="00F53B32"/>
    <w:rsid w:val="00F56690"/>
    <w:rsid w:val="00F56B3A"/>
    <w:rsid w:val="00F579C4"/>
    <w:rsid w:val="00F773E3"/>
    <w:rsid w:val="00F861D3"/>
    <w:rsid w:val="00F918E8"/>
    <w:rsid w:val="00F91F7D"/>
    <w:rsid w:val="00F941D7"/>
    <w:rsid w:val="00FA2034"/>
    <w:rsid w:val="00FA308E"/>
    <w:rsid w:val="00FA615F"/>
    <w:rsid w:val="00FD12D3"/>
    <w:rsid w:val="00FE0E34"/>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A23A72"/>
    <w:rPr>
      <w:rFonts w:ascii="Times New Roman" w:eastAsia="Times New Roman" w:hAnsi="Times New Roman"/>
      <w:b/>
      <w:bCs/>
      <w:u w:val="single"/>
    </w:rPr>
  </w:style>
  <w:style w:type="paragraph" w:styleId="ac">
    <w:name w:val="List Paragraph"/>
    <w:basedOn w:val="a"/>
    <w:uiPriority w:val="34"/>
    <w:qFormat/>
    <w:rsid w:val="007B4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906961168">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3C0B1D" w:rsidP="003C0B1D">
          <w:pPr>
            <w:pStyle w:val="B51005572D254E90B6965C1D7CB1468E10"/>
          </w:pPr>
          <w:r>
            <w:rPr>
              <w:b/>
              <w:bCs/>
              <w:sz w:val="26"/>
              <w:szCs w:val="26"/>
              <w:rtl/>
            </w:rPr>
            <w:t>תאור קבוצת שיכות צד א'</w:t>
          </w:r>
        </w:p>
      </w:docPartBody>
    </w:docPart>
    <w:docPart>
      <w:docPartPr>
        <w:name w:val="87BC7852BBA04B8384D8B6D69A938C31"/>
        <w:category>
          <w:name w:val="כללי"/>
          <w:gallery w:val="placeholder"/>
        </w:category>
        <w:types>
          <w:type w:val="bbPlcHdr"/>
        </w:types>
        <w:behaviors>
          <w:behavior w:val="content"/>
        </w:behaviors>
        <w:guid w:val="{699222E1-5967-491E-9B73-BA9178DB825B}"/>
      </w:docPartPr>
      <w:docPartBody>
        <w:p w:rsidR="00F479DC" w:rsidRDefault="003C0B1D" w:rsidP="003C0B1D">
          <w:pPr>
            <w:pStyle w:val="87BC7852BBA04B8384D8B6D69A938C312"/>
          </w:pPr>
          <w:r>
            <w:rPr>
              <w:rFonts w:hint="eastAsia"/>
              <w:b/>
              <w:bCs/>
              <w:sz w:val="26"/>
              <w:szCs w:val="26"/>
              <w:rtl/>
            </w:rPr>
            <w:t>סוג</w:t>
          </w:r>
          <w:r>
            <w:rPr>
              <w:b/>
              <w:bCs/>
              <w:sz w:val="26"/>
              <w:szCs w:val="26"/>
              <w:rtl/>
            </w:rPr>
            <w:t xml:space="preserve"> זיהוי צד א</w:t>
          </w:r>
        </w:p>
      </w:docPartBody>
    </w:docPart>
    <w:docPart>
      <w:docPartPr>
        <w:name w:val="3DBEBEE758D944F793720D2E022001D2"/>
        <w:category>
          <w:name w:val="כללי"/>
          <w:gallery w:val="placeholder"/>
        </w:category>
        <w:types>
          <w:type w:val="bbPlcHdr"/>
        </w:types>
        <w:behaviors>
          <w:behavior w:val="content"/>
        </w:behaviors>
        <w:guid w:val="{33BB6429-1615-4D11-99EC-11DCEC654B63}"/>
      </w:docPartPr>
      <w:docPartBody>
        <w:p w:rsidR="00F479DC" w:rsidRDefault="003C0B1D" w:rsidP="003C0B1D">
          <w:pPr>
            <w:pStyle w:val="3DBEBEE758D944F793720D2E022001D22"/>
          </w:pPr>
          <w:r>
            <w:rPr>
              <w:rFonts w:hint="eastAsia"/>
              <w:b/>
              <w:bCs/>
              <w:sz w:val="26"/>
              <w:szCs w:val="26"/>
              <w:rtl/>
            </w:rPr>
            <w:t>מספר</w:t>
          </w:r>
          <w:r>
            <w:rPr>
              <w:b/>
              <w:bCs/>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8499C"/>
    <w:rsid w:val="00340517"/>
    <w:rsid w:val="003C0B1D"/>
    <w:rsid w:val="003E288D"/>
    <w:rsid w:val="004547C5"/>
    <w:rsid w:val="00655A39"/>
    <w:rsid w:val="007D1B7A"/>
    <w:rsid w:val="00907022"/>
    <w:rsid w:val="00951FB8"/>
    <w:rsid w:val="009675EB"/>
    <w:rsid w:val="00AD09F5"/>
    <w:rsid w:val="00AE1C74"/>
    <w:rsid w:val="00B63D07"/>
    <w:rsid w:val="00F479DC"/>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0B1D"/>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34051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34051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340517"/>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340517"/>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340517"/>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340517"/>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340517"/>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F479DC"/>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F479DC"/>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479DC"/>
    <w:pPr>
      <w:bidi/>
      <w:spacing w:after="0" w:line="240" w:lineRule="auto"/>
    </w:pPr>
    <w:rPr>
      <w:rFonts w:ascii="David" w:eastAsia="David" w:hAnsi="David" w:cs="David"/>
      <w:sz w:val="24"/>
      <w:szCs w:val="24"/>
    </w:rPr>
  </w:style>
  <w:style w:type="paragraph" w:customStyle="1" w:styleId="87BC7852BBA04B8384D8B6D69A938C31">
    <w:name w:val="87BC7852BBA04B8384D8B6D69A938C31"/>
    <w:rsid w:val="00F479DC"/>
    <w:pPr>
      <w:bidi/>
      <w:spacing w:after="0" w:line="240" w:lineRule="auto"/>
    </w:pPr>
    <w:rPr>
      <w:rFonts w:ascii="David" w:eastAsia="David" w:hAnsi="David" w:cs="David"/>
      <w:sz w:val="24"/>
      <w:szCs w:val="24"/>
    </w:rPr>
  </w:style>
  <w:style w:type="paragraph" w:customStyle="1" w:styleId="3DBEBEE758D944F793720D2E022001D2">
    <w:name w:val="3DBEBEE758D944F793720D2E022001D2"/>
    <w:rsid w:val="00F479DC"/>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479DC"/>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479DC"/>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479DC"/>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479DC"/>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9675E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9675E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9675EB"/>
    <w:pPr>
      <w:bidi/>
      <w:spacing w:after="0" w:line="240" w:lineRule="auto"/>
    </w:pPr>
    <w:rPr>
      <w:rFonts w:ascii="David" w:eastAsia="David" w:hAnsi="David" w:cs="David"/>
      <w:sz w:val="24"/>
      <w:szCs w:val="24"/>
    </w:rPr>
  </w:style>
  <w:style w:type="paragraph" w:customStyle="1" w:styleId="87BC7852BBA04B8384D8B6D69A938C311">
    <w:name w:val="87BC7852BBA04B8384D8B6D69A938C311"/>
    <w:rsid w:val="009675EB"/>
    <w:pPr>
      <w:bidi/>
      <w:spacing w:after="0" w:line="240" w:lineRule="auto"/>
    </w:pPr>
    <w:rPr>
      <w:rFonts w:ascii="David" w:eastAsia="David" w:hAnsi="David" w:cs="David"/>
      <w:sz w:val="24"/>
      <w:szCs w:val="24"/>
    </w:rPr>
  </w:style>
  <w:style w:type="paragraph" w:customStyle="1" w:styleId="3DBEBEE758D944F793720D2E022001D21">
    <w:name w:val="3DBEBEE758D944F793720D2E022001D21"/>
    <w:rsid w:val="009675EB"/>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9675EB"/>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9675EB"/>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9675EB"/>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9675EB"/>
    <w:pPr>
      <w:bidi/>
      <w:spacing w:after="0" w:line="240" w:lineRule="auto"/>
    </w:pPr>
    <w:rPr>
      <w:rFonts w:ascii="David" w:eastAsia="David" w:hAnsi="David" w:cs="David"/>
      <w:sz w:val="24"/>
      <w:szCs w:val="24"/>
    </w:rPr>
  </w:style>
  <w:style w:type="paragraph" w:customStyle="1" w:styleId="7A606783FF934ABBBDF62EA50C8112C8">
    <w:name w:val="7A606783FF934ABBBDF62EA50C8112C8"/>
    <w:rsid w:val="009675EB"/>
    <w:pPr>
      <w:bidi/>
    </w:pPr>
  </w:style>
  <w:style w:type="paragraph" w:customStyle="1" w:styleId="9C469255304546F2A9BC31A020943E69">
    <w:name w:val="9C469255304546F2A9BC31A020943E69"/>
    <w:rsid w:val="009675EB"/>
    <w:pPr>
      <w:bidi/>
    </w:pPr>
  </w:style>
  <w:style w:type="paragraph" w:customStyle="1" w:styleId="A3AB22AA566747338BA05FE04C5D4C6B">
    <w:name w:val="A3AB22AA566747338BA05FE04C5D4C6B"/>
    <w:rsid w:val="009675EB"/>
    <w:pPr>
      <w:bidi/>
    </w:pPr>
  </w:style>
  <w:style w:type="paragraph" w:customStyle="1" w:styleId="9C469255304546F2A9BC31A020943E691">
    <w:name w:val="9C469255304546F2A9BC31A020943E691"/>
    <w:rsid w:val="003C0B1D"/>
    <w:pPr>
      <w:tabs>
        <w:tab w:val="center" w:pos="4153"/>
        <w:tab w:val="right" w:pos="8306"/>
      </w:tabs>
      <w:bidi/>
      <w:spacing w:after="0" w:line="240" w:lineRule="auto"/>
    </w:pPr>
    <w:rPr>
      <w:rFonts w:ascii="David" w:eastAsia="David" w:hAnsi="David" w:cs="David"/>
      <w:sz w:val="24"/>
      <w:szCs w:val="24"/>
    </w:rPr>
  </w:style>
  <w:style w:type="paragraph" w:customStyle="1" w:styleId="A3AB22AA566747338BA05FE04C5D4C6B1">
    <w:name w:val="A3AB22AA566747338BA05FE04C5D4C6B1"/>
    <w:rsid w:val="003C0B1D"/>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C0B1D"/>
    <w:pPr>
      <w:bidi/>
      <w:spacing w:after="0" w:line="240" w:lineRule="auto"/>
    </w:pPr>
    <w:rPr>
      <w:rFonts w:ascii="David" w:eastAsia="David" w:hAnsi="David" w:cs="David"/>
      <w:sz w:val="24"/>
      <w:szCs w:val="24"/>
    </w:rPr>
  </w:style>
  <w:style w:type="paragraph" w:customStyle="1" w:styleId="87BC7852BBA04B8384D8B6D69A938C312">
    <w:name w:val="87BC7852BBA04B8384D8B6D69A938C312"/>
    <w:rsid w:val="003C0B1D"/>
    <w:pPr>
      <w:bidi/>
      <w:spacing w:after="0" w:line="240" w:lineRule="auto"/>
    </w:pPr>
    <w:rPr>
      <w:rFonts w:ascii="David" w:eastAsia="David" w:hAnsi="David" w:cs="David"/>
      <w:sz w:val="24"/>
      <w:szCs w:val="24"/>
    </w:rPr>
  </w:style>
  <w:style w:type="paragraph" w:customStyle="1" w:styleId="3DBEBEE758D944F793720D2E022001D22">
    <w:name w:val="3DBEBEE758D944F793720D2E022001D22"/>
    <w:rsid w:val="003C0B1D"/>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C0B1D"/>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C0B1D"/>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C0B1D"/>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C0B1D"/>
    <w:pPr>
      <w:bidi/>
      <w:spacing w:after="0" w:line="240" w:lineRule="auto"/>
    </w:pPr>
    <w:rPr>
      <w:rFonts w:ascii="David" w:eastAsia="David" w:hAnsi="David" w:cs="David"/>
      <w:sz w:val="24"/>
      <w:szCs w:val="24"/>
    </w:rPr>
  </w:style>
  <w:style w:type="paragraph" w:customStyle="1" w:styleId="5D2826DDF5A841DBB0A59ADB359B5D6E">
    <w:name w:val="5D2826DDF5A841DBB0A59ADB359B5D6E"/>
    <w:rsid w:val="003C0B1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88099580</MeetingID>
    <MeetingDate>2023-10-25T00:00:00+03:00</MeetingDate>
    <StartTime>11:30     </StartTime>
    <FinishTime>12:00     </FinishTime>
    <AllDayEvent>false</AllDayEvent>
    <Label>0</Label>
    <ShowTimeAs>0</ShowTimeAs>
    <Remark/>
    <MeetingTypeID>1</MeetingTypeID>
    <UserID>301206785@GOV.IL</UserID>
    <ChangeDate>2023-10-23T15:36:13.157+03:00</ChangeDate>
    <MeetingMode>1</MeetingMode>
    <IsVCMeeting>true</IsVCMeeting>
    <VCMeetingID>JI688T0O</VCMeetingID>
    <VCMeetingJoinURL>https://meet.court.gov.il/ngcs_skype_user/JI688T0O</VCMeetingJoinURL>
    <VCMeetingHostURL>https://meet.court.gov.il/ngcs_skype_user/JI688T0O</VCMeetingHostURL>
  </dt_Meeting>
  <dt_MeetingUser>
    <MeetingID>88099580</MeetingID>
    <UserID>024300998@GOV.IL</UserID>
    <IsSynchronized>false</IsSynchronized>
    <ExchangeGUID>9b1a07dc-d3a0-42c2-ad18-cf1448670396.eml</ExchangeGUID>
  </dt_MeetingUser>
  <dt_MeetingUser>
    <MeetingID>88099580</MeetingID>
    <UserID>022339139@GOV.IL</UserID>
    <IsSynchronized>false</IsSynchronized>
    <ExchangeGUID>3454749c-ad87-4f65-8ae7-1a975413338e.eml</ExchangeGUID>
    <OrdinalNumberID>1</OrdinalNumberID>
  </dt_MeetingUser>
  <dt_MeetingUser>
    <MeetingID>88099580</MeetingID>
    <UserID>026310458@GOV.IL</UserID>
    <IsSynchronized>false</IsSynchronized>
    <ExchangeGUID>e0f7b2a5-67e9-485c-9c82-bb62ab7bc33e.eml</ExchangeGUID>
    <OrdinalNumberID>2</OrdinalNumberID>
  </dt_MeetingUser>
  <dt_Sitting>
    <SittingID>96078602</SittingID>
    <MeetingID>88099580</MeetingID>
    <SittingTypeID>52</SittingTypeID>
    <CourtID>12</CourtID>
    <ActivatingMethodID>2</ActivatingMethodID>
    <SittingActivityStatusID>1</SittingActivityStatusID>
    <ChangeDate>2023-10-23T15:36:13.07+03:00</ChangeDate>
    <UserID>301206785@GOV.IL</UserID>
    <StartTime>11:30     </StartTime>
    <FinishTime>12:00     </FinishTime>
    <PreviousSittingID>96078591</PreviousSittingID>
    <Remark/>
    <OrdinalNumber>0</OrdinalNumber>
    <RemarkSittingType/>
    <CreateDate>2023-10-23T15:36:24.7+03:00</CreateDate>
    <ProtocolSubjectID>0</ProtocolSubjectID>
    <CourtDisplayName>בית המשפט המחוזי בנצרת בשבתו כבית-משפט לערעורים פליליים</CourtDisplayName>
    <IsProtocolFirst>1</IsProtocolFirst>
    <IsProtocolNotFirst>false</IsProtocolNotFirst>
    <ReadingDate/>
    <ReadingTime/>
    <AccusedAnswerDate/>
    <AccusedAnswerTime/>
    <ProofDate/>
    <ProofTime/>
    <CourtAddress>כיכר יצחק רבין היכל המשפט נוף הגליל</CourtAddress>
    <IsTitleCaseExists>0</IsTitleCaseExists>
    <ProtocolSubject/>
    <CaseTypeID>10079</CaseTypeID>
  </dt_Sitting>
  <dt_SittingCase>
    <SittingCaseID>97463048</SittingCaseID>
    <SittingID>96078602</SittingID>
    <CaseID>80689940</CaseID>
    <CaseDisplayIdentifier>37018-10-23</CaseDisplayIdentifier>
    <CaseName>מדינת ישראל נ' אלחרוב(עציר)</CaseName>
    <CaseTypeDesc>עפ"ג</CaseTypeDesc>
    <CaseLinkType>-1</CaseLinkType>
  </dt_SittingCase>
  <dt_MeetingUserHistory>
    <MeetingUserHistoryID>503496</MeetingUserHistoryID>
    <MeetingID>88099580</MeetingID>
    <UserID>024300998@GOV.IL</UserID>
    <MeetingUserActionTypeID>1</MeetingUserActionTypeID>
    <ActionDate>2023-10-23T15:36:24.713+03:00</ActionDate>
  </dt_MeetingUserHistory>
  <dt_MeetingUserHistory>
    <MeetingUserHistoryID>503497</MeetingUserHistoryID>
    <MeetingID>88099580</MeetingID>
    <UserID>022339139@GOV.IL</UserID>
    <MeetingUserActionTypeID>1</MeetingUserActionTypeID>
    <ActionDate>2023-10-23T15:36:24.713+03:00</ActionDate>
  </dt_MeetingUserHistory>
  <dt_MeetingUserHistory>
    <MeetingUserHistoryID>503498</MeetingUserHistoryID>
    <MeetingID>88099580</MeetingID>
    <UserID>026310458@GOV.IL</UserID>
    <MeetingUserActionTypeID>1</MeetingUserActionTypeID>
    <ActionDate>2023-10-23T15:36:24.713+03:00</ActionDate>
  </dt_MeetingUserHistory>
  <dt_Case>
    <CaseName>מדינת ישראל נ' אלחרוב(עציר)</CaseName>
  </dt_Case>
  <dt_CasePartyA>
    <CasePartyID>261734853</CasePartyID>
    <GroupPartyAlias>מערערים</GroupPartyAlias>
    <PartyAliasID>5</PartyAliasID>
    <OrdinalNumber/>
    <FullName>מדינת ישראל</FullName>
    <FullNameAndRoleName>מדינת ישראל</FullNameAndRoleName>
    <FirstName/>
    <LastName>מדינת ישראל</LastName>
    <RoleName>מערער 1 - מאשימה</RoleName>
    <TypeIdentifier>מדינת ישראל </TypeIdentifier>
    <AuthenticationNumber/>
    <CasePartyTypeID>1</CasePartyTypeID>
    <IsPublicationProhibited>false</IsPublicationProhibited>
  </dt_CasePartyA>
  <dt_CasePartyB>
    <CasePartyID>261734854</CasePartyID>
    <GroupPartyAlias>משיבים</GroupPartyAlias>
    <PartyAliasID>4</PartyAliasID>
    <OrdinalNumber/>
    <FullName>אחמד אלחרוב (עציר)</FullName>
    <FullNameAndRoleName>אחמד אלחרוב (עציר)</FullNameAndRoleName>
    <FirstName>אחמד</FirstName>
    <LastName>אלחרוב</LastName>
    <RoleName>משיב 1 - נאשם</RoleName>
    <TypeIdentifier>ת"ז</TypeIdentifier>
    <AuthenticationNumber>852957620</AuthenticationNumber>
    <CasePartyTypeID>1</CasePartyTypeID>
    <IsPublicationProhibited>false</IsPublicationProhibited>
  </dt_CasePartyB>
  <UserMetaData>
    <UserPrincipalName/>
    <DisplayName>שופטת יפעת שיטרית, שופטת תמר נסים שי, שופטת אוסילה אבו-אסעד</DisplayName>
    <UserIdentity>1</UserIdentity>
    <JudgeRoleName>שופטת</JudgeRoleName>
  </UserMetaData>
  <dt_ExternalCase>
    <ExternalCaseID>72945532</ExternalCaseID>
    <ExternalCaseNumber>461726/2023</ExternalCaseNumber>
    <ExternalCaseTypeID>29</ExternalCaseTypeID>
    <ExternalCaseType>מספר פל"א</ExternalCaseType>
  </dt_ExternalCase>
</MeetingDS>
</file>

<file path=customXml/item2.xml><?xml version="1.0" encoding="utf-8"?>
<SignatureDS>
  <dt_Signature>
    <UserUPN>024300998@GOV.IL</UserUPN>
    <FirstName>יפעת</FirstName>
    <LastName>שיטרית</LastName>
    <DisplayName>יפעת שיטרית</DisplayName>
    <SignatureGrafic>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</SignatureGrafic>
    <RoleID>16</RoleID>
    <TitleOrRoleName>שופטת</TitleOrRoleName>
    <OrdinalNumber>1</OrdinalNumber>
  </dt_Signature>
  <dt_Signature>
    <UserUPN>022339139@GOV.IL</UserUPN>
    <FirstName>תמר</FirstName>
    <LastName>נסים שי</LastName>
    <DisplayName>תמר נסים שי</DisplayName>
    <SignatureGrafic>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</SignatureGrafic>
    <RoleID>16</RoleID>
    <TitleOrRoleName>שופטת</TitleOrRoleName>
    <OrdinalNumber>2</OrdinalNumber>
  </dt_Signature>
  <dt_Signature>
    <UserUPN>026310458@GOV.IL</UserUPN>
    <FirstName>אוסילה</FirstName>
    <LastName>אבו-אסעד</LastName>
    <DisplayName>אוסילה אבו-אסעד</DisplayName>
    <SignatureGrafic>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</SignatureGrafic>
    <RoleID>16</RoleID>
    <TitleOrRoleName>שופטת</TitleOrRoleName>
    <OrdinalNumber>3</OrdinalNumber>
  </dt_Signature>
</SignatureDS>
</file>

<file path=customXml/item3.xml><?xml version="1.0" encoding="utf-8"?>
<NewDataSet/>
</file>

<file path=customXml/item4.xml><?xml version="1.0" encoding="utf-8"?>
<NewDataSet/>
</file>

<file path=customXml/itemProps1.xml><?xml version="1.0" encoding="utf-8"?>
<ds:datastoreItem xmlns:ds="http://schemas.openxmlformats.org/officeDocument/2006/customXml" ds:itemID="{5077D7EB-32F3-4C42-8F0B-AE4F84CADE9F}">
  <ds:schemaRefs/>
</ds:datastoreItem>
</file>

<file path=customXml/itemProps2.xml><?xml version="1.0" encoding="utf-8"?>
<ds:datastoreItem xmlns:ds="http://schemas.openxmlformats.org/officeDocument/2006/customXml" ds:itemID="{E52EB3A1-134E-4488-8752-69E4F745849A}">
  <ds:schemaRefs/>
</ds:datastoreItem>
</file>

<file path=customXml/itemProps3.xml><?xml version="1.0" encoding="utf-8"?>
<ds:datastoreItem xmlns:ds="http://schemas.openxmlformats.org/officeDocument/2006/customXml" ds:itemID="{B861FEE5-B95C-423E-ACCF-9E9EDCAE3CCF}">
  <ds:schemaRefs/>
</ds:datastoreItem>
</file>

<file path=customXml/itemProps4.xml><?xml version="1.0" encoding="utf-8"?>
<ds:datastoreItem xmlns:ds="http://schemas.openxmlformats.org/officeDocument/2006/customXml" ds:itemID="{78CAE3D9-A46A-4A3E-B4F1-E6F0C4E4E3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1635</Words>
  <Characters>7423</Characters>
  <Application>Microsoft Office Word</Application>
  <DocSecurity>4</DocSecurity>
  <Lines>185</Lines>
  <Paragraphs>47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גרמאו מנגיסטו</cp:lastModifiedBy>
  <cp:revision>2</cp:revision>
  <cp:lastPrinted>2023-10-25T09:44:00Z</cp:lastPrinted>
  <dcterms:created xsi:type="dcterms:W3CDTF">2023-10-26T09:46:00Z</dcterms:created>
  <dcterms:modified xsi:type="dcterms:W3CDTF">2023-10-26T09:46:00Z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1e318ecbcdcde0c28747ba9827cefa4f70986545a6111c351db3b6f12d09b58a</vt:lpwstr>
  </property>
</Properties>
</file>